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F730F" w14:textId="7333D020" w:rsidR="00A52A67" w:rsidRPr="00600405" w:rsidRDefault="00A52A67" w:rsidP="006F2C7F">
      <w:pPr>
        <w:pStyle w:val="TtuloTDC"/>
      </w:pPr>
      <w:r>
        <w:t xml:space="preserve">ACTIVIDAD AUTOEVALUACIÓN </w:t>
      </w:r>
      <w:r w:rsidR="006F2C7F">
        <w:t>– FORMATOS 2</w:t>
      </w:r>
    </w:p>
    <w:p w14:paraId="56BDF711" w14:textId="77777777" w:rsidR="00A52A67" w:rsidRDefault="00A52A67" w:rsidP="006F2C7F">
      <w:pPr>
        <w:spacing w:before="0" w:after="200" w:line="240" w:lineRule="auto"/>
        <w:rPr>
          <w:b/>
        </w:rPr>
      </w:pPr>
    </w:p>
    <w:p w14:paraId="50BC213D" w14:textId="77777777" w:rsidR="00A52A67" w:rsidRDefault="00A52A67" w:rsidP="006F2C7F">
      <w:pPr>
        <w:spacing w:before="0" w:after="200" w:line="240" w:lineRule="auto"/>
        <w:rPr>
          <w:b/>
        </w:rPr>
      </w:pPr>
      <w:r>
        <w:rPr>
          <w:b/>
        </w:rPr>
        <w:t>2.1. CONCEPTO MARKETING DE AFILIACIÓN</w:t>
      </w:r>
    </w:p>
    <w:p w14:paraId="5C5407BC" w14:textId="77777777" w:rsidR="00A52A67" w:rsidRPr="008A1D4D" w:rsidRDefault="00A52A67" w:rsidP="006F2C7F">
      <w:pPr>
        <w:spacing w:before="0" w:after="200" w:line="240" w:lineRule="auto"/>
        <w:rPr>
          <w:b/>
        </w:rPr>
      </w:pPr>
      <w:r>
        <w:rPr>
          <w:b/>
        </w:rPr>
        <w:t>Atendiendo a lo que se especifica en el Libro Blanco sobre el Marketing de Afiliación de IAB, ¿Cuál de las siguientes afirmaciones sobre el Marketing de Afiliación es FALSA?</w:t>
      </w:r>
    </w:p>
    <w:p w14:paraId="1EB9AAB0" w14:textId="77777777" w:rsidR="00A52A67" w:rsidRDefault="00A52A67" w:rsidP="006F2C7F">
      <w:pPr>
        <w:spacing w:before="0" w:after="200" w:line="240" w:lineRule="auto"/>
      </w:pPr>
      <w:r>
        <w:t xml:space="preserve">El beneficio para el anunciante depende del CTR (Clic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Rate</w:t>
      </w:r>
      <w:proofErr w:type="spellEnd"/>
      <w:r>
        <w:t>), es decir, de si se producen resultados, ya que paga al afiliado por el tiempo y dinero que emplea en dirigir tráfico hacia el anunciante, pero no en función de si ese trabajo produce acciones y resultados.</w:t>
      </w:r>
    </w:p>
    <w:p w14:paraId="53D5F149" w14:textId="77777777" w:rsidR="00A52A67" w:rsidRDefault="00A52A67" w:rsidP="006F2C7F">
      <w:pPr>
        <w:spacing w:before="0" w:after="200" w:line="240" w:lineRule="auto"/>
      </w:pPr>
      <w:r>
        <w:t>Engloba todas aquellas relaciones comerciales en las que un comerciante (tienda online o anunciante) promociona sus servicios o productos mediante anuncios y un afiliado (normalmente un sitio web) inserta esos anuncios y promociones en sus páginas web.</w:t>
      </w:r>
    </w:p>
    <w:p w14:paraId="51966512" w14:textId="77777777" w:rsidR="00A52A67" w:rsidRDefault="00A52A67" w:rsidP="006F2C7F">
      <w:pPr>
        <w:spacing w:before="0" w:after="200" w:line="240" w:lineRule="auto"/>
      </w:pPr>
      <w:r>
        <w:t>Si un usuario visita una página web de un afiliado y es impactado por una promoción de un anunciante, tiene la posibilidad de hacer clic en el banner y realizar una acción determinada en el sitio del anunciante (por lo general una compra o un registro). El afiliado recibe el pago de una comisión por esta acción.</w:t>
      </w:r>
    </w:p>
    <w:p w14:paraId="11B03E6E" w14:textId="77777777" w:rsidR="00A52A67" w:rsidRDefault="00A52A67" w:rsidP="006F2C7F">
      <w:pPr>
        <w:spacing w:before="0" w:after="200" w:line="240" w:lineRule="auto"/>
      </w:pPr>
      <w:r>
        <w:t>El modelo de coste por acción (CPA) define y diferencia al marketing de afiliación con respecto a otra tipología de canales.</w:t>
      </w:r>
    </w:p>
    <w:p w14:paraId="3157C21A" w14:textId="77777777" w:rsidR="00A52A67" w:rsidRDefault="00A52A67" w:rsidP="006F2C7F">
      <w:pPr>
        <w:spacing w:before="0" w:after="200" w:line="240" w:lineRule="auto"/>
      </w:pPr>
    </w:p>
    <w:p w14:paraId="0EBE2582" w14:textId="77777777" w:rsidR="00A52A67" w:rsidRDefault="00A52A67" w:rsidP="006F2C7F">
      <w:pPr>
        <w:spacing w:before="0" w:after="200" w:line="240" w:lineRule="auto"/>
        <w:rPr>
          <w:b/>
        </w:rPr>
      </w:pPr>
      <w:r>
        <w:rPr>
          <w:b/>
        </w:rPr>
        <w:t>2.2. TIPOLOGÍAS DE AFILIACIÓN</w:t>
      </w:r>
    </w:p>
    <w:p w14:paraId="2FB19956" w14:textId="77777777" w:rsidR="00A52A67" w:rsidRPr="008A1D4D" w:rsidRDefault="00A52A67" w:rsidP="006F2C7F">
      <w:pPr>
        <w:spacing w:before="0" w:after="200" w:line="240" w:lineRule="auto"/>
        <w:rPr>
          <w:b/>
        </w:rPr>
      </w:pPr>
      <w:r>
        <w:rPr>
          <w:b/>
        </w:rPr>
        <w:t>Atendiendo a lo que se especifica en el Libro Blanco sobre el Marketing de Afiliación de IAB, ¿Cuál de las siguientes NO responde a tipología alguna de Afiliación?</w:t>
      </w:r>
    </w:p>
    <w:p w14:paraId="4B54390E" w14:textId="77777777" w:rsidR="00A52A67" w:rsidRDefault="00A52A67" w:rsidP="006F2C7F">
      <w:pPr>
        <w:spacing w:before="0" w:after="200" w:line="240" w:lineRule="auto"/>
      </w:pPr>
      <w:r>
        <w:t>Plataformas principales de Redes Sociales (Facebook, Twitter, Instagram…)</w:t>
      </w:r>
    </w:p>
    <w:p w14:paraId="791DAC7E" w14:textId="77777777" w:rsidR="00A52A67" w:rsidRDefault="00A52A67" w:rsidP="006F2C7F">
      <w:pPr>
        <w:spacing w:before="0" w:after="200" w:line="240" w:lineRule="auto"/>
      </w:pPr>
      <w:r>
        <w:t>Cash Back y sitios que reparten sus ingresos con los usuarios finales</w:t>
      </w:r>
    </w:p>
    <w:p w14:paraId="026F58E2" w14:textId="77777777" w:rsidR="00A52A67" w:rsidRDefault="00A52A67" w:rsidP="006F2C7F">
      <w:pPr>
        <w:spacing w:before="0" w:after="200" w:line="240" w:lineRule="auto"/>
      </w:pPr>
      <w:r>
        <w:t>Pago Por Clic de Afiliados que trabajan en motores de búsqueda</w:t>
      </w:r>
    </w:p>
    <w:p w14:paraId="04B19A5D" w14:textId="77777777" w:rsidR="00A52A67" w:rsidRDefault="00A52A67" w:rsidP="006F2C7F">
      <w:pPr>
        <w:spacing w:before="0" w:after="200" w:line="240" w:lineRule="auto"/>
      </w:pPr>
      <w:r>
        <w:t xml:space="preserve">Bases de datos de e-mail marketing o de </w:t>
      </w:r>
      <w:proofErr w:type="spellStart"/>
      <w:r>
        <w:t>co-registro</w:t>
      </w:r>
      <w:proofErr w:type="spellEnd"/>
    </w:p>
    <w:p w14:paraId="2C7BA779" w14:textId="77777777" w:rsidR="00A52A67" w:rsidRDefault="00A52A67" w:rsidP="006F2C7F">
      <w:pPr>
        <w:spacing w:before="0" w:after="200" w:line="240" w:lineRule="auto"/>
      </w:pPr>
      <w:r>
        <w:t>Sitios web de c</w:t>
      </w:r>
      <w:r w:rsidRPr="00EB4938">
        <w:t xml:space="preserve">ontenidos específicos </w:t>
      </w:r>
      <w:r>
        <w:t>e</w:t>
      </w:r>
      <w:r w:rsidRPr="00EB4938">
        <w:t xml:space="preserve"> interés personal</w:t>
      </w:r>
    </w:p>
    <w:p w14:paraId="1ED49495" w14:textId="4885081B" w:rsidR="006F2C7F" w:rsidRDefault="006F2C7F">
      <w:pPr>
        <w:spacing w:before="0" w:after="160" w:line="259" w:lineRule="auto"/>
        <w:jc w:val="left"/>
      </w:pPr>
      <w:r>
        <w:br w:type="page"/>
      </w:r>
    </w:p>
    <w:p w14:paraId="3294D212" w14:textId="77777777" w:rsidR="00A52A67" w:rsidRDefault="00A52A67" w:rsidP="006F2C7F">
      <w:pPr>
        <w:spacing w:before="0" w:after="200" w:line="240" w:lineRule="auto"/>
      </w:pPr>
    </w:p>
    <w:p w14:paraId="5C54D53B" w14:textId="77777777" w:rsidR="00A52A67" w:rsidRDefault="00A52A67" w:rsidP="006F2C7F">
      <w:pPr>
        <w:spacing w:before="0" w:after="200" w:line="240" w:lineRule="auto"/>
        <w:rPr>
          <w:b/>
        </w:rPr>
      </w:pPr>
      <w:r>
        <w:rPr>
          <w:b/>
        </w:rPr>
        <w:t>2.3. PASOS CAMPAÑA DE AFILIACIÓN</w:t>
      </w:r>
    </w:p>
    <w:p w14:paraId="3D852A5D" w14:textId="77777777" w:rsidR="00A52A67" w:rsidRPr="008A1D4D" w:rsidRDefault="00A52A67" w:rsidP="006F2C7F">
      <w:pPr>
        <w:spacing w:before="0" w:after="200" w:line="240" w:lineRule="auto"/>
        <w:rPr>
          <w:b/>
        </w:rPr>
      </w:pPr>
      <w:r>
        <w:rPr>
          <w:b/>
        </w:rPr>
        <w:t>Atendiendo a lo que se especifica en la infografía sobre Redes de Afiliación de IAB, ordena los pasos a seguir en una campaña de Afiliación</w:t>
      </w:r>
    </w:p>
    <w:p w14:paraId="38B6FF90" w14:textId="77777777" w:rsidR="00A52A67" w:rsidRPr="009135D2" w:rsidRDefault="00A52A67" w:rsidP="006F2C7F">
      <w:pPr>
        <w:spacing w:before="0" w:after="200" w:line="240" w:lineRule="auto"/>
        <w:rPr>
          <w:b/>
        </w:rPr>
      </w:pPr>
      <w:r w:rsidRPr="009135D2">
        <w:rPr>
          <w:b/>
        </w:rPr>
        <w:t>PASO 1</w:t>
      </w:r>
    </w:p>
    <w:p w14:paraId="5F76FF9E" w14:textId="77777777" w:rsidR="00A52A67" w:rsidRDefault="00A52A67" w:rsidP="006F2C7F">
      <w:pPr>
        <w:spacing w:before="0" w:after="200" w:line="240" w:lineRule="auto"/>
      </w:pPr>
      <w:r>
        <w:t>Seleccionar tipo y formato de las creatividades</w:t>
      </w:r>
    </w:p>
    <w:p w14:paraId="73393519" w14:textId="77777777" w:rsidR="00A52A67" w:rsidRPr="009135D2" w:rsidRDefault="00A52A67" w:rsidP="006F2C7F">
      <w:pPr>
        <w:spacing w:before="0" w:after="200" w:line="240" w:lineRule="auto"/>
        <w:rPr>
          <w:b/>
        </w:rPr>
      </w:pPr>
      <w:r w:rsidRPr="009135D2">
        <w:rPr>
          <w:b/>
        </w:rPr>
        <w:t>PASO 2</w:t>
      </w:r>
    </w:p>
    <w:p w14:paraId="74B70514" w14:textId="77777777" w:rsidR="00A52A67" w:rsidRDefault="00A52A67" w:rsidP="006F2C7F">
      <w:pPr>
        <w:spacing w:before="0" w:after="200" w:line="240" w:lineRule="auto"/>
      </w:pPr>
      <w:r>
        <w:t>Establecer programa y tipo de publishers</w:t>
      </w:r>
    </w:p>
    <w:p w14:paraId="2C4AB9FE" w14:textId="77777777" w:rsidR="00A52A67" w:rsidRPr="009135D2" w:rsidRDefault="00A52A67" w:rsidP="006F2C7F">
      <w:pPr>
        <w:spacing w:before="0" w:after="200" w:line="240" w:lineRule="auto"/>
        <w:rPr>
          <w:b/>
        </w:rPr>
      </w:pPr>
      <w:r w:rsidRPr="009135D2">
        <w:rPr>
          <w:b/>
        </w:rPr>
        <w:t>PASO 3</w:t>
      </w:r>
    </w:p>
    <w:p w14:paraId="49CE0423" w14:textId="77777777" w:rsidR="00A52A67" w:rsidRDefault="00A52A67" w:rsidP="006F2C7F">
      <w:pPr>
        <w:spacing w:before="0" w:after="200" w:line="240" w:lineRule="auto"/>
      </w:pPr>
      <w:r>
        <w:t xml:space="preserve">Nivel de comisión: venta, lead o venta </w:t>
      </w:r>
      <w:proofErr w:type="spellStart"/>
      <w:r>
        <w:t>post-impresión</w:t>
      </w:r>
      <w:proofErr w:type="spellEnd"/>
    </w:p>
    <w:p w14:paraId="7F819BC3" w14:textId="77777777" w:rsidR="00A52A67" w:rsidRPr="009135D2" w:rsidRDefault="00A52A67" w:rsidP="006F2C7F">
      <w:pPr>
        <w:spacing w:before="0" w:after="200" w:line="240" w:lineRule="auto"/>
        <w:rPr>
          <w:b/>
        </w:rPr>
      </w:pPr>
      <w:r w:rsidRPr="009135D2">
        <w:rPr>
          <w:b/>
        </w:rPr>
        <w:t>PASO 4</w:t>
      </w:r>
    </w:p>
    <w:p w14:paraId="2A417B02" w14:textId="77777777" w:rsidR="00A52A67" w:rsidRDefault="00A52A67" w:rsidP="006F2C7F">
      <w:pPr>
        <w:spacing w:before="0" w:after="200" w:line="240" w:lineRule="auto"/>
      </w:pPr>
      <w:r>
        <w:t>Tipo de dispositivos: Online, Mobile o Tablet</w:t>
      </w:r>
    </w:p>
    <w:p w14:paraId="2D18B63F" w14:textId="77777777" w:rsidR="00A52A67" w:rsidRPr="009135D2" w:rsidRDefault="00A52A67" w:rsidP="006F2C7F">
      <w:pPr>
        <w:spacing w:before="0" w:after="200" w:line="240" w:lineRule="auto"/>
        <w:rPr>
          <w:b/>
        </w:rPr>
      </w:pPr>
      <w:r w:rsidRPr="009135D2">
        <w:rPr>
          <w:b/>
        </w:rPr>
        <w:t xml:space="preserve">PASO </w:t>
      </w:r>
      <w:r>
        <w:rPr>
          <w:b/>
        </w:rPr>
        <w:t>5</w:t>
      </w:r>
    </w:p>
    <w:p w14:paraId="57F6E385" w14:textId="3E08204E" w:rsidR="006F2C7F" w:rsidRDefault="00A52A67" w:rsidP="001C03B7">
      <w:pPr>
        <w:spacing w:before="0" w:after="200" w:line="240" w:lineRule="auto"/>
      </w:pPr>
      <w:r>
        <w:t>Lanzar la campaña</w:t>
      </w:r>
    </w:p>
    <w:p w14:paraId="0887C2C8" w14:textId="5B483365" w:rsidR="006F2C7F" w:rsidRDefault="006F2C7F"/>
    <w:p w14:paraId="7BE88121" w14:textId="58CC17BE" w:rsidR="006F2C7F" w:rsidRDefault="006F2C7F"/>
    <w:p w14:paraId="28B7B1D6" w14:textId="2A2E221B" w:rsidR="001C03B7" w:rsidRDefault="001C03B7"/>
    <w:p w14:paraId="46DF2499" w14:textId="798BE3A9" w:rsidR="001C03B7" w:rsidRDefault="001C03B7"/>
    <w:p w14:paraId="06A9C1AF" w14:textId="397810A5" w:rsidR="001C03B7" w:rsidRDefault="001C03B7"/>
    <w:p w14:paraId="4E235B03" w14:textId="77777777" w:rsidR="001C03B7" w:rsidRDefault="001C03B7"/>
    <w:p w14:paraId="4A29FE4E" w14:textId="480DC682" w:rsidR="006F2C7F" w:rsidRDefault="006F2C7F"/>
    <w:p w14:paraId="10B80A53" w14:textId="77777777" w:rsidR="006F2C7F" w:rsidRPr="007D51D4" w:rsidRDefault="006F2C7F" w:rsidP="006F2C7F">
      <w:pPr>
        <w:spacing w:before="0" w:after="160" w:line="259" w:lineRule="auto"/>
        <w:jc w:val="left"/>
        <w:rPr>
          <w:rFonts w:eastAsiaTheme="minorHAnsi"/>
          <w:sz w:val="22"/>
          <w:szCs w:val="22"/>
          <w:lang w:val="es-ES" w:eastAsia="en-US"/>
        </w:rPr>
      </w:pPr>
    </w:p>
    <w:p w14:paraId="7F70D7D5" w14:textId="77777777" w:rsidR="006F2C7F" w:rsidRPr="007D51D4" w:rsidRDefault="006F2C7F" w:rsidP="006F2C7F">
      <w:pPr>
        <w:widowControl w:val="0"/>
        <w:shd w:val="clear" w:color="auto" w:fill="A6A6A6"/>
        <w:tabs>
          <w:tab w:val="center" w:pos="4252"/>
          <w:tab w:val="right" w:pos="8504"/>
        </w:tabs>
        <w:autoSpaceDE w:val="0"/>
        <w:autoSpaceDN w:val="0"/>
        <w:adjustRightInd w:val="0"/>
        <w:spacing w:before="0" w:after="0" w:line="240" w:lineRule="auto"/>
        <w:rPr>
          <w:rFonts w:ascii="Calibri" w:eastAsia="Times New Roman" w:hAnsi="Calibri" w:cs="Calibri"/>
          <w:color w:val="C00000"/>
          <w:sz w:val="22"/>
          <w:szCs w:val="22"/>
          <w:lang w:val="es-ES"/>
        </w:rPr>
      </w:pPr>
    </w:p>
    <w:p w14:paraId="271503BC" w14:textId="77777777" w:rsidR="006F2C7F" w:rsidRPr="007D51D4" w:rsidRDefault="006F2C7F" w:rsidP="006F2C7F">
      <w:pPr>
        <w:widowControl w:val="0"/>
        <w:shd w:val="clear" w:color="auto" w:fill="A6A6A6"/>
        <w:tabs>
          <w:tab w:val="center" w:pos="4252"/>
          <w:tab w:val="right" w:pos="8504"/>
        </w:tabs>
        <w:autoSpaceDE w:val="0"/>
        <w:autoSpaceDN w:val="0"/>
        <w:adjustRightInd w:val="0"/>
        <w:spacing w:before="0" w:after="0" w:line="240" w:lineRule="auto"/>
        <w:rPr>
          <w:rFonts w:ascii="Calibri" w:eastAsia="Times New Roman" w:hAnsi="Calibri" w:cs="Calibri"/>
          <w:color w:val="C00000"/>
          <w:sz w:val="22"/>
          <w:szCs w:val="22"/>
          <w:lang w:val="es-ES"/>
        </w:rPr>
      </w:pPr>
    </w:p>
    <w:p w14:paraId="6C3D18CA" w14:textId="77777777" w:rsidR="006F2C7F" w:rsidRPr="007D51D4" w:rsidRDefault="00000000" w:rsidP="006F2C7F">
      <w:pPr>
        <w:widowControl w:val="0"/>
        <w:shd w:val="clear" w:color="auto" w:fill="A6A6A6"/>
        <w:tabs>
          <w:tab w:val="center" w:pos="4252"/>
        </w:tabs>
        <w:autoSpaceDE w:val="0"/>
        <w:autoSpaceDN w:val="0"/>
        <w:adjustRightInd w:val="0"/>
        <w:spacing w:before="0" w:after="0" w:line="240" w:lineRule="auto"/>
        <w:ind w:right="-1"/>
        <w:jc w:val="center"/>
        <w:rPr>
          <w:rFonts w:ascii="MS Reference Sans Serif" w:eastAsia="Times New Roman" w:hAnsi="MS Reference Sans Serif" w:cs="Calibri"/>
          <w:sz w:val="20"/>
          <w:szCs w:val="20"/>
          <w:lang w:val="es-ES"/>
        </w:rPr>
      </w:pPr>
      <w:hyperlink r:id="rId6" w:history="1">
        <w:r w:rsidR="006F2C7F" w:rsidRPr="007D51D4">
          <w:rPr>
            <w:rFonts w:ascii="MS Reference Sans Serif" w:eastAsia="Times New Roman" w:hAnsi="MS Reference Sans Serif" w:cs="Times New Roman"/>
            <w:color w:val="8E0000"/>
            <w:sz w:val="20"/>
            <w:szCs w:val="20"/>
            <w:u w:val="single"/>
            <w:lang w:val="es-ES"/>
          </w:rPr>
          <w:t>Grupo Ciberimaginario</w:t>
        </w:r>
      </w:hyperlink>
      <w:r w:rsidR="006F2C7F" w:rsidRPr="007D51D4">
        <w:rPr>
          <w:rFonts w:ascii="MS Reference Sans Serif" w:eastAsia="Times New Roman" w:hAnsi="MS Reference Sans Serif" w:cs="Calibri"/>
          <w:sz w:val="20"/>
          <w:szCs w:val="20"/>
          <w:lang w:val="es-ES"/>
        </w:rPr>
        <w:t xml:space="preserve"> | María del Carmen Gálvez de la Cuesta – Sergio Álvarez García |</w:t>
      </w:r>
    </w:p>
    <w:p w14:paraId="7EECE0E2" w14:textId="77777777" w:rsidR="006F2C7F" w:rsidRPr="007D51D4" w:rsidRDefault="006F2C7F" w:rsidP="006F2C7F">
      <w:pPr>
        <w:widowControl w:val="0"/>
        <w:shd w:val="clear" w:color="auto" w:fill="A6A6A6"/>
        <w:tabs>
          <w:tab w:val="center" w:pos="4252"/>
          <w:tab w:val="right" w:pos="8504"/>
        </w:tabs>
        <w:autoSpaceDE w:val="0"/>
        <w:autoSpaceDN w:val="0"/>
        <w:adjustRightInd w:val="0"/>
        <w:spacing w:before="0" w:after="0" w:line="240" w:lineRule="auto"/>
        <w:jc w:val="center"/>
        <w:rPr>
          <w:rFonts w:ascii="MS Reference Sans Serif" w:eastAsia="Times New Roman" w:hAnsi="MS Reference Sans Serif" w:cs="Calibri"/>
          <w:sz w:val="22"/>
          <w:szCs w:val="22"/>
          <w:lang w:val="es-ES"/>
        </w:rPr>
      </w:pPr>
      <w:r w:rsidRPr="007D51D4">
        <w:rPr>
          <w:rFonts w:ascii="MS Reference Sans Serif" w:eastAsia="Times New Roman" w:hAnsi="MS Reference Sans Serif" w:cs="Calibri"/>
          <w:sz w:val="20"/>
          <w:szCs w:val="20"/>
          <w:lang w:val="es-ES"/>
        </w:rPr>
        <w:t>2022/2023</w:t>
      </w:r>
      <w:r w:rsidRPr="007D51D4">
        <w:rPr>
          <w:rFonts w:ascii="MS Reference Sans Serif" w:eastAsia="Times New Roman" w:hAnsi="MS Reference Sans Serif" w:cs="Calibri"/>
          <w:sz w:val="22"/>
          <w:szCs w:val="22"/>
          <w:lang w:val="es-ES"/>
        </w:rPr>
        <w:t xml:space="preserve"> | </w:t>
      </w:r>
      <w:r w:rsidRPr="007D51D4">
        <w:rPr>
          <w:rFonts w:ascii="MS Reference Sans Serif" w:eastAsia="Times New Roman" w:hAnsi="MS Reference Sans Serif" w:cs="Calibri"/>
          <w:sz w:val="16"/>
          <w:szCs w:val="16"/>
          <w:lang w:val="es-ES"/>
        </w:rPr>
        <w:t>Esta obra está bajo una Licencia Atribución</w:t>
      </w:r>
      <w:r w:rsidRPr="007D51D4">
        <w:rPr>
          <w:rFonts w:ascii="MS Reference Sans Serif" w:eastAsia="Times New Roman" w:hAnsi="MS Reference Sans Serif" w:cs="Calibri"/>
          <w:color w:val="8E0000"/>
          <w:sz w:val="16"/>
          <w:szCs w:val="16"/>
          <w:lang w:val="es-ES"/>
        </w:rPr>
        <w:t>-</w:t>
      </w:r>
      <w:proofErr w:type="spellStart"/>
      <w:r w:rsidRPr="007D51D4">
        <w:rPr>
          <w:rFonts w:ascii="Calibri" w:eastAsia="Times New Roman" w:hAnsi="Calibri" w:cs="Calibri"/>
          <w:sz w:val="22"/>
          <w:szCs w:val="22"/>
          <w:lang w:val="es-ES"/>
        </w:rPr>
        <w:fldChar w:fldCharType="begin"/>
      </w:r>
      <w:r w:rsidRPr="007D51D4">
        <w:rPr>
          <w:rFonts w:ascii="Calibri" w:eastAsia="Times New Roman" w:hAnsi="Calibri" w:cs="Calibri"/>
          <w:sz w:val="22"/>
          <w:szCs w:val="22"/>
          <w:lang w:val="es-ES"/>
        </w:rPr>
        <w:instrText xml:space="preserve"> HYPERLINK "https://creativecommons.org/licenses/by-sa/4.0/deed.es" </w:instrText>
      </w:r>
      <w:r w:rsidRPr="007D51D4">
        <w:rPr>
          <w:rFonts w:ascii="Calibri" w:eastAsia="Times New Roman" w:hAnsi="Calibri" w:cs="Calibri"/>
          <w:sz w:val="22"/>
          <w:szCs w:val="22"/>
          <w:lang w:val="es-ES"/>
        </w:rPr>
        <w:fldChar w:fldCharType="separate"/>
      </w:r>
      <w:r w:rsidRPr="007D51D4">
        <w:rPr>
          <w:rFonts w:ascii="MS Reference Sans Serif" w:eastAsia="Times New Roman" w:hAnsi="MS Reference Sans Serif" w:cs="Times New Roman"/>
          <w:color w:val="8E0000"/>
          <w:sz w:val="16"/>
          <w:szCs w:val="16"/>
          <w:u w:val="single"/>
          <w:lang w:val="es-ES"/>
        </w:rPr>
        <w:t>CompartirIgual</w:t>
      </w:r>
      <w:proofErr w:type="spellEnd"/>
      <w:r w:rsidRPr="007D51D4">
        <w:rPr>
          <w:rFonts w:ascii="MS Reference Sans Serif" w:eastAsia="Times New Roman" w:hAnsi="MS Reference Sans Serif" w:cs="Times New Roman"/>
          <w:color w:val="8E0000"/>
          <w:sz w:val="16"/>
          <w:szCs w:val="16"/>
          <w:u w:val="single"/>
          <w:lang w:val="es-ES"/>
        </w:rPr>
        <w:fldChar w:fldCharType="end"/>
      </w:r>
      <w:r w:rsidRPr="007D51D4">
        <w:rPr>
          <w:rFonts w:ascii="MS Reference Sans Serif" w:eastAsia="Times New Roman" w:hAnsi="MS Reference Sans Serif" w:cs="Calibri"/>
          <w:sz w:val="16"/>
          <w:szCs w:val="16"/>
          <w:lang w:val="es-ES"/>
        </w:rPr>
        <w:t xml:space="preserve"> de Creative Commons</w:t>
      </w:r>
    </w:p>
    <w:p w14:paraId="607C46B2" w14:textId="77777777" w:rsidR="006F2C7F" w:rsidRPr="007D51D4" w:rsidRDefault="006F2C7F" w:rsidP="006F2C7F">
      <w:pPr>
        <w:widowControl w:val="0"/>
        <w:shd w:val="clear" w:color="auto" w:fill="A6A6A6"/>
        <w:tabs>
          <w:tab w:val="center" w:pos="4252"/>
          <w:tab w:val="right" w:pos="8504"/>
        </w:tabs>
        <w:autoSpaceDE w:val="0"/>
        <w:autoSpaceDN w:val="0"/>
        <w:adjustRightInd w:val="0"/>
        <w:spacing w:before="0" w:after="0" w:line="240" w:lineRule="auto"/>
        <w:ind w:firstLine="567"/>
        <w:rPr>
          <w:rFonts w:ascii="MS Reference Sans Serif" w:eastAsia="Times New Roman" w:hAnsi="MS Reference Sans Serif" w:cs="Calibri"/>
          <w:sz w:val="22"/>
          <w:szCs w:val="22"/>
          <w:lang w:val="es-ES"/>
        </w:rPr>
      </w:pPr>
    </w:p>
    <w:p w14:paraId="1AB0F99A" w14:textId="77777777" w:rsidR="006F2C7F" w:rsidRPr="007D51D4" w:rsidRDefault="006F2C7F" w:rsidP="006F2C7F">
      <w:pPr>
        <w:widowControl w:val="0"/>
        <w:shd w:val="clear" w:color="auto" w:fill="A6A6A6"/>
        <w:tabs>
          <w:tab w:val="center" w:pos="4252"/>
          <w:tab w:val="right" w:pos="8504"/>
        </w:tabs>
        <w:autoSpaceDE w:val="0"/>
        <w:autoSpaceDN w:val="0"/>
        <w:adjustRightInd w:val="0"/>
        <w:spacing w:before="0" w:after="0" w:line="240" w:lineRule="auto"/>
        <w:jc w:val="center"/>
        <w:rPr>
          <w:rFonts w:ascii="Gill Sans MT" w:eastAsia="MS Gothic" w:hAnsi="Gill Sans MT" w:cs="Times New Roman"/>
        </w:rPr>
      </w:pPr>
      <w:r w:rsidRPr="007D51D4">
        <w:rPr>
          <w:rFonts w:ascii="Calibri" w:eastAsia="Times New Roman" w:hAnsi="Calibri" w:cs="Calibri"/>
          <w:sz w:val="22"/>
          <w:szCs w:val="22"/>
          <w:lang w:val="es-ES"/>
        </w:rPr>
        <w:fldChar w:fldCharType="begin"/>
      </w:r>
      <w:r w:rsidRPr="007D51D4">
        <w:rPr>
          <w:rFonts w:ascii="Calibri" w:eastAsia="Times New Roman" w:hAnsi="Calibri" w:cs="Calibri"/>
          <w:sz w:val="22"/>
          <w:szCs w:val="22"/>
          <w:lang w:val="es-ES"/>
        </w:rPr>
        <w:instrText xml:space="preserve"> INCLUDEPICTURE "https://i.creativecommons.org/l/by-sa/4.0/80x15.png" \* MERGEFORMATINET </w:instrText>
      </w:r>
      <w:r w:rsidRPr="007D51D4">
        <w:rPr>
          <w:rFonts w:ascii="Calibri" w:eastAsia="Times New Roman" w:hAnsi="Calibri" w:cs="Calibri"/>
          <w:sz w:val="22"/>
          <w:szCs w:val="22"/>
          <w:lang w:val="es-ES"/>
        </w:rPr>
        <w:fldChar w:fldCharType="separate"/>
      </w:r>
      <w:r w:rsidRPr="007D51D4">
        <w:rPr>
          <w:rFonts w:ascii="Calibri" w:eastAsia="Times New Roman" w:hAnsi="Calibri" w:cs="Calibri"/>
          <w:sz w:val="22"/>
          <w:szCs w:val="22"/>
          <w:lang w:val="es-ES"/>
        </w:rPr>
        <w:fldChar w:fldCharType="begin"/>
      </w:r>
      <w:r w:rsidRPr="007D51D4">
        <w:rPr>
          <w:rFonts w:ascii="Calibri" w:eastAsia="Times New Roman" w:hAnsi="Calibri" w:cs="Calibri"/>
          <w:sz w:val="22"/>
          <w:szCs w:val="22"/>
          <w:lang w:val="es-ES"/>
        </w:rPr>
        <w:instrText xml:space="preserve"> INCLUDEPICTURE  "https://i.creativecommons.org/l/by-sa/4.0/80x15.png" \* MERGEFORMATINET </w:instrText>
      </w:r>
      <w:r w:rsidRPr="007D51D4">
        <w:rPr>
          <w:rFonts w:ascii="Calibri" w:eastAsia="Times New Roman" w:hAnsi="Calibri" w:cs="Calibri"/>
          <w:sz w:val="22"/>
          <w:szCs w:val="22"/>
          <w:lang w:val="es-ES"/>
        </w:rPr>
        <w:fldChar w:fldCharType="separate"/>
      </w:r>
      <w:r w:rsidRPr="007D51D4">
        <w:rPr>
          <w:rFonts w:ascii="Calibri" w:eastAsia="Times New Roman" w:hAnsi="Calibri" w:cs="Calibri"/>
          <w:sz w:val="22"/>
          <w:szCs w:val="22"/>
          <w:lang w:val="es-ES"/>
        </w:rPr>
        <w:fldChar w:fldCharType="begin"/>
      </w:r>
      <w:r w:rsidRPr="007D51D4">
        <w:rPr>
          <w:rFonts w:ascii="Calibri" w:eastAsia="Times New Roman" w:hAnsi="Calibri" w:cs="Calibri"/>
          <w:sz w:val="22"/>
          <w:szCs w:val="22"/>
          <w:lang w:val="es-ES"/>
        </w:rPr>
        <w:instrText xml:space="preserve"> INCLUDEPICTURE  "https://i.creativecommons.org/l/by-sa/4.0/80x15.png" \* MERGEFORMATINET </w:instrText>
      </w:r>
      <w:r w:rsidRPr="007D51D4">
        <w:rPr>
          <w:rFonts w:ascii="Calibri" w:eastAsia="Times New Roman" w:hAnsi="Calibri" w:cs="Calibri"/>
          <w:sz w:val="22"/>
          <w:szCs w:val="22"/>
          <w:lang w:val="es-ES"/>
        </w:rPr>
        <w:fldChar w:fldCharType="separate"/>
      </w:r>
      <w:r w:rsidRPr="007D51D4">
        <w:rPr>
          <w:rFonts w:ascii="Calibri" w:eastAsia="Times New Roman" w:hAnsi="Calibri" w:cs="Calibri"/>
          <w:sz w:val="22"/>
          <w:szCs w:val="22"/>
          <w:lang w:val="es-ES"/>
        </w:rPr>
        <w:fldChar w:fldCharType="begin"/>
      </w:r>
      <w:r w:rsidRPr="007D51D4">
        <w:rPr>
          <w:rFonts w:ascii="Calibri" w:eastAsia="Times New Roman" w:hAnsi="Calibri" w:cs="Calibri"/>
          <w:sz w:val="22"/>
          <w:szCs w:val="22"/>
          <w:lang w:val="es-ES"/>
        </w:rPr>
        <w:instrText xml:space="preserve"> INCLUDEPICTURE  "https://i.creativecommons.org/l/by-sa/4.0/80x15.png" \* MERGEFORMATINET </w:instrText>
      </w:r>
      <w:r w:rsidRPr="007D51D4">
        <w:rPr>
          <w:rFonts w:ascii="Calibri" w:eastAsia="Times New Roman" w:hAnsi="Calibri" w:cs="Calibri"/>
          <w:sz w:val="22"/>
          <w:szCs w:val="22"/>
          <w:lang w:val="es-ES"/>
        </w:rPr>
        <w:fldChar w:fldCharType="separate"/>
      </w:r>
      <w:r w:rsidRPr="007D51D4">
        <w:rPr>
          <w:rFonts w:ascii="Calibri" w:eastAsia="Times New Roman" w:hAnsi="Calibri" w:cs="Calibri"/>
          <w:sz w:val="22"/>
          <w:szCs w:val="22"/>
          <w:lang w:val="es-ES"/>
        </w:rPr>
        <w:fldChar w:fldCharType="begin"/>
      </w:r>
      <w:r w:rsidRPr="007D51D4">
        <w:rPr>
          <w:rFonts w:ascii="Calibri" w:eastAsia="Times New Roman" w:hAnsi="Calibri" w:cs="Calibri"/>
          <w:sz w:val="22"/>
          <w:szCs w:val="22"/>
          <w:lang w:val="es-ES"/>
        </w:rPr>
        <w:instrText xml:space="preserve"> INCLUDEPICTURE  "https://i.creativecommons.org/l/by-sa/4.0/80x15.png" \* MERGEFORMATINET </w:instrText>
      </w:r>
      <w:r w:rsidRPr="007D51D4">
        <w:rPr>
          <w:rFonts w:ascii="Calibri" w:eastAsia="Times New Roman" w:hAnsi="Calibri" w:cs="Calibri"/>
          <w:sz w:val="22"/>
          <w:szCs w:val="22"/>
          <w:lang w:val="es-ES"/>
        </w:rPr>
        <w:fldChar w:fldCharType="separate"/>
      </w:r>
      <w:r w:rsidRPr="007D51D4">
        <w:rPr>
          <w:rFonts w:ascii="Calibri" w:eastAsia="Times New Roman" w:hAnsi="Calibri" w:cs="Calibri"/>
          <w:sz w:val="22"/>
          <w:szCs w:val="22"/>
          <w:lang w:val="es-ES"/>
        </w:rPr>
        <w:fldChar w:fldCharType="begin"/>
      </w:r>
      <w:r w:rsidRPr="007D51D4">
        <w:rPr>
          <w:rFonts w:ascii="Calibri" w:eastAsia="Times New Roman" w:hAnsi="Calibri" w:cs="Calibri"/>
          <w:sz w:val="22"/>
          <w:szCs w:val="22"/>
          <w:lang w:val="es-ES"/>
        </w:rPr>
        <w:instrText xml:space="preserve"> INCLUDEPICTURE  "https://i.creativecommons.org/l/by-sa/4.0/80x15.png" \* MERGEFORMATINET </w:instrText>
      </w:r>
      <w:r w:rsidRPr="007D51D4">
        <w:rPr>
          <w:rFonts w:ascii="Calibri" w:eastAsia="Times New Roman" w:hAnsi="Calibri" w:cs="Calibri"/>
          <w:sz w:val="22"/>
          <w:szCs w:val="22"/>
          <w:lang w:val="es-ES"/>
        </w:rPr>
        <w:fldChar w:fldCharType="separate"/>
      </w:r>
      <w:r w:rsidRPr="007D51D4">
        <w:rPr>
          <w:rFonts w:ascii="Calibri" w:eastAsia="Times New Roman" w:hAnsi="Calibri" w:cs="Calibri"/>
          <w:sz w:val="22"/>
          <w:szCs w:val="22"/>
          <w:lang w:val="es-ES"/>
        </w:rPr>
        <w:fldChar w:fldCharType="begin"/>
      </w:r>
      <w:r w:rsidRPr="007D51D4">
        <w:rPr>
          <w:rFonts w:ascii="Calibri" w:eastAsia="Times New Roman" w:hAnsi="Calibri" w:cs="Calibri"/>
          <w:sz w:val="22"/>
          <w:szCs w:val="22"/>
          <w:lang w:val="es-ES"/>
        </w:rPr>
        <w:instrText xml:space="preserve"> INCLUDEPICTURE  "https://i.creativecommons.org/l/by-sa/4.0/80x15.png" \* MERGEFORMATINET </w:instrText>
      </w:r>
      <w:r w:rsidRPr="007D51D4">
        <w:rPr>
          <w:rFonts w:ascii="Calibri" w:eastAsia="Times New Roman" w:hAnsi="Calibri" w:cs="Calibri"/>
          <w:sz w:val="22"/>
          <w:szCs w:val="22"/>
          <w:lang w:val="es-ES"/>
        </w:rPr>
        <w:fldChar w:fldCharType="separate"/>
      </w:r>
      <w:r w:rsidR="00000000">
        <w:rPr>
          <w:rFonts w:ascii="Calibri" w:eastAsia="Times New Roman" w:hAnsi="Calibri" w:cs="Calibri"/>
          <w:sz w:val="22"/>
          <w:szCs w:val="22"/>
          <w:lang w:val="es-ES"/>
        </w:rPr>
        <w:fldChar w:fldCharType="begin"/>
      </w:r>
      <w:r w:rsidR="00000000">
        <w:rPr>
          <w:rFonts w:ascii="Calibri" w:eastAsia="Times New Roman" w:hAnsi="Calibri" w:cs="Calibri"/>
          <w:sz w:val="22"/>
          <w:szCs w:val="22"/>
          <w:lang w:val="es-ES"/>
        </w:rPr>
        <w:instrText xml:space="preserve"> INCLUDEPICTURE  "https://i.creativecommons.org/l/by-sa/4.0/80x15.png" \* MERGEFORMATINET </w:instrText>
      </w:r>
      <w:r w:rsidR="00000000">
        <w:rPr>
          <w:rFonts w:ascii="Calibri" w:eastAsia="Times New Roman" w:hAnsi="Calibri" w:cs="Calibri"/>
          <w:sz w:val="22"/>
          <w:szCs w:val="22"/>
          <w:lang w:val="es-ES"/>
        </w:rPr>
        <w:fldChar w:fldCharType="separate"/>
      </w:r>
      <w:r w:rsidR="00000000">
        <w:rPr>
          <w:rFonts w:ascii="Calibri" w:eastAsia="Times New Roman" w:hAnsi="Calibri" w:cs="Calibri"/>
          <w:sz w:val="22"/>
          <w:szCs w:val="22"/>
          <w:lang w:val="es-ES"/>
        </w:rPr>
        <w:pict w14:anchorId="3C75DD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icencia de Creative Commons" style="width:60.3pt;height:10.9pt">
            <v:imagedata r:id="rId7" r:href="rId8"/>
          </v:shape>
        </w:pict>
      </w:r>
      <w:r w:rsidR="00000000">
        <w:rPr>
          <w:rFonts w:ascii="Calibri" w:eastAsia="Times New Roman" w:hAnsi="Calibri" w:cs="Calibri"/>
          <w:sz w:val="22"/>
          <w:szCs w:val="22"/>
          <w:lang w:val="es-ES"/>
        </w:rPr>
        <w:fldChar w:fldCharType="end"/>
      </w:r>
      <w:r w:rsidRPr="007D51D4">
        <w:rPr>
          <w:rFonts w:ascii="Calibri" w:eastAsia="Times New Roman" w:hAnsi="Calibri" w:cs="Calibri"/>
          <w:sz w:val="22"/>
          <w:szCs w:val="22"/>
          <w:lang w:val="es-ES"/>
        </w:rPr>
        <w:fldChar w:fldCharType="end"/>
      </w:r>
      <w:r w:rsidRPr="007D51D4">
        <w:rPr>
          <w:rFonts w:ascii="Calibri" w:eastAsia="Times New Roman" w:hAnsi="Calibri" w:cs="Calibri"/>
          <w:sz w:val="22"/>
          <w:szCs w:val="22"/>
          <w:lang w:val="es-ES"/>
        </w:rPr>
        <w:fldChar w:fldCharType="end"/>
      </w:r>
      <w:r w:rsidRPr="007D51D4">
        <w:rPr>
          <w:rFonts w:ascii="Calibri" w:eastAsia="Times New Roman" w:hAnsi="Calibri" w:cs="Calibri"/>
          <w:sz w:val="22"/>
          <w:szCs w:val="22"/>
          <w:lang w:val="es-ES"/>
        </w:rPr>
        <w:fldChar w:fldCharType="end"/>
      </w:r>
      <w:r w:rsidRPr="007D51D4">
        <w:rPr>
          <w:rFonts w:ascii="Calibri" w:eastAsia="Times New Roman" w:hAnsi="Calibri" w:cs="Calibri"/>
          <w:sz w:val="22"/>
          <w:szCs w:val="22"/>
          <w:lang w:val="es-ES"/>
        </w:rPr>
        <w:fldChar w:fldCharType="end"/>
      </w:r>
      <w:r w:rsidRPr="007D51D4">
        <w:rPr>
          <w:rFonts w:ascii="Calibri" w:eastAsia="Times New Roman" w:hAnsi="Calibri" w:cs="Calibri"/>
          <w:sz w:val="22"/>
          <w:szCs w:val="22"/>
          <w:lang w:val="es-ES"/>
        </w:rPr>
        <w:fldChar w:fldCharType="end"/>
      </w:r>
      <w:r w:rsidRPr="007D51D4">
        <w:rPr>
          <w:rFonts w:ascii="Calibri" w:eastAsia="Times New Roman" w:hAnsi="Calibri" w:cs="Calibri"/>
          <w:sz w:val="22"/>
          <w:szCs w:val="22"/>
          <w:lang w:val="es-ES"/>
        </w:rPr>
        <w:fldChar w:fldCharType="end"/>
      </w:r>
      <w:r w:rsidRPr="007D51D4">
        <w:rPr>
          <w:rFonts w:ascii="Calibri" w:eastAsia="Times New Roman" w:hAnsi="Calibri" w:cs="Calibri"/>
          <w:sz w:val="22"/>
          <w:szCs w:val="22"/>
          <w:lang w:val="es-ES"/>
        </w:rPr>
        <w:fldChar w:fldCharType="end"/>
      </w:r>
    </w:p>
    <w:p w14:paraId="538550B4" w14:textId="77777777" w:rsidR="006F2C7F" w:rsidRDefault="006F2C7F"/>
    <w:sectPr w:rsidR="006F2C7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02D23" w14:textId="77777777" w:rsidR="009904C6" w:rsidRDefault="009904C6" w:rsidP="006F2C7F">
      <w:pPr>
        <w:spacing w:before="0" w:after="0" w:line="240" w:lineRule="auto"/>
      </w:pPr>
      <w:r>
        <w:separator/>
      </w:r>
    </w:p>
  </w:endnote>
  <w:endnote w:type="continuationSeparator" w:id="0">
    <w:p w14:paraId="0969497F" w14:textId="77777777" w:rsidR="009904C6" w:rsidRDefault="009904C6" w:rsidP="006F2C7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80CCF" w14:textId="77777777" w:rsidR="009904C6" w:rsidRDefault="009904C6" w:rsidP="006F2C7F">
      <w:pPr>
        <w:spacing w:before="0" w:after="0" w:line="240" w:lineRule="auto"/>
      </w:pPr>
      <w:r>
        <w:separator/>
      </w:r>
    </w:p>
  </w:footnote>
  <w:footnote w:type="continuationSeparator" w:id="0">
    <w:p w14:paraId="1CC859B6" w14:textId="77777777" w:rsidR="009904C6" w:rsidRDefault="009904C6" w:rsidP="006F2C7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C34F5" w14:textId="0F43E5C1" w:rsidR="006F2C7F" w:rsidRDefault="006F2C7F" w:rsidP="006F2C7F">
    <w:pPr>
      <w:pStyle w:val="Encabezado"/>
      <w:jc w:val="center"/>
    </w:pPr>
    <w:r>
      <w:rPr>
        <w:rFonts w:ascii="MS Reference Sans Serif" w:hAnsi="MS Reference Sans Serif" w:cs="Times New Roman"/>
        <w:b/>
        <w:bCs/>
        <w:color w:val="A6A6A6"/>
        <w:position w:val="3"/>
      </w:rPr>
      <w:t>BURJC DIGITAL- Asignatura en Abierto</w:t>
    </w:r>
    <w:r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661312" behindDoc="0" locked="0" layoutInCell="1" allowOverlap="1" wp14:anchorId="01E1E64B" wp14:editId="4583682B">
          <wp:simplePos x="0" y="0"/>
          <wp:positionH relativeFrom="column">
            <wp:posOffset>5117465</wp:posOffset>
          </wp:positionH>
          <wp:positionV relativeFrom="paragraph">
            <wp:posOffset>-195580</wp:posOffset>
          </wp:positionV>
          <wp:extent cx="1273817" cy="516035"/>
          <wp:effectExtent l="0" t="0" r="2540" b="0"/>
          <wp:wrapNone/>
          <wp:docPr id="17" name="Imagen 17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agen 39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817" cy="51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3C5F1EA" wp14:editId="504DE2D4">
          <wp:simplePos x="0" y="0"/>
          <wp:positionH relativeFrom="margin">
            <wp:posOffset>-863600</wp:posOffset>
          </wp:positionH>
          <wp:positionV relativeFrom="paragraph">
            <wp:posOffset>-351155</wp:posOffset>
          </wp:positionV>
          <wp:extent cx="1263650" cy="534670"/>
          <wp:effectExtent l="0" t="0" r="0" b="8255"/>
          <wp:wrapTopAndBottom/>
          <wp:docPr id="18" name="Imagen 18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n 4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650" cy="53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A67"/>
    <w:rsid w:val="00002140"/>
    <w:rsid w:val="00004CC3"/>
    <w:rsid w:val="00021E92"/>
    <w:rsid w:val="0008601F"/>
    <w:rsid w:val="000936A1"/>
    <w:rsid w:val="000B4158"/>
    <w:rsid w:val="000C32D5"/>
    <w:rsid w:val="000D0BC2"/>
    <w:rsid w:val="0010164C"/>
    <w:rsid w:val="0014417B"/>
    <w:rsid w:val="00157588"/>
    <w:rsid w:val="001712A7"/>
    <w:rsid w:val="001730DE"/>
    <w:rsid w:val="0018310A"/>
    <w:rsid w:val="00183416"/>
    <w:rsid w:val="00185D62"/>
    <w:rsid w:val="00194261"/>
    <w:rsid w:val="001A063A"/>
    <w:rsid w:val="001A0D1D"/>
    <w:rsid w:val="001A4855"/>
    <w:rsid w:val="001A4C75"/>
    <w:rsid w:val="001A6B1C"/>
    <w:rsid w:val="001B1054"/>
    <w:rsid w:val="001B2288"/>
    <w:rsid w:val="001C03B7"/>
    <w:rsid w:val="001C2B04"/>
    <w:rsid w:val="001D7568"/>
    <w:rsid w:val="001D75CA"/>
    <w:rsid w:val="001E172B"/>
    <w:rsid w:val="00212148"/>
    <w:rsid w:val="0022737A"/>
    <w:rsid w:val="00242D4C"/>
    <w:rsid w:val="00242D9D"/>
    <w:rsid w:val="00265B7B"/>
    <w:rsid w:val="00277ECD"/>
    <w:rsid w:val="0028511E"/>
    <w:rsid w:val="00292C7E"/>
    <w:rsid w:val="002A0AEA"/>
    <w:rsid w:val="002A4141"/>
    <w:rsid w:val="002B4344"/>
    <w:rsid w:val="00324004"/>
    <w:rsid w:val="003255C5"/>
    <w:rsid w:val="0037212D"/>
    <w:rsid w:val="00373557"/>
    <w:rsid w:val="003948E1"/>
    <w:rsid w:val="003948EB"/>
    <w:rsid w:val="003B4BA3"/>
    <w:rsid w:val="003B628B"/>
    <w:rsid w:val="003F3670"/>
    <w:rsid w:val="00415251"/>
    <w:rsid w:val="00416624"/>
    <w:rsid w:val="00420B2B"/>
    <w:rsid w:val="0044267C"/>
    <w:rsid w:val="00467055"/>
    <w:rsid w:val="004738F4"/>
    <w:rsid w:val="00477A2D"/>
    <w:rsid w:val="00480201"/>
    <w:rsid w:val="004915EF"/>
    <w:rsid w:val="004A2A22"/>
    <w:rsid w:val="004B47A0"/>
    <w:rsid w:val="004B7843"/>
    <w:rsid w:val="004C1855"/>
    <w:rsid w:val="004C3038"/>
    <w:rsid w:val="004C6C41"/>
    <w:rsid w:val="004D56C5"/>
    <w:rsid w:val="004E43A1"/>
    <w:rsid w:val="00527F15"/>
    <w:rsid w:val="00537F2C"/>
    <w:rsid w:val="005415D8"/>
    <w:rsid w:val="00544866"/>
    <w:rsid w:val="00560878"/>
    <w:rsid w:val="005627E8"/>
    <w:rsid w:val="00566B93"/>
    <w:rsid w:val="00573653"/>
    <w:rsid w:val="00585477"/>
    <w:rsid w:val="00591A23"/>
    <w:rsid w:val="005A1B2D"/>
    <w:rsid w:val="005B28ED"/>
    <w:rsid w:val="005B74DC"/>
    <w:rsid w:val="005D79B6"/>
    <w:rsid w:val="005E2948"/>
    <w:rsid w:val="005E3039"/>
    <w:rsid w:val="00602CA8"/>
    <w:rsid w:val="00603A6B"/>
    <w:rsid w:val="00616C61"/>
    <w:rsid w:val="00624A07"/>
    <w:rsid w:val="006503A0"/>
    <w:rsid w:val="00651184"/>
    <w:rsid w:val="00655D18"/>
    <w:rsid w:val="00665E85"/>
    <w:rsid w:val="0067293E"/>
    <w:rsid w:val="00672CED"/>
    <w:rsid w:val="006A69E0"/>
    <w:rsid w:val="006C275E"/>
    <w:rsid w:val="006C362D"/>
    <w:rsid w:val="006C71A9"/>
    <w:rsid w:val="006F2C7F"/>
    <w:rsid w:val="006F65B4"/>
    <w:rsid w:val="00702CC8"/>
    <w:rsid w:val="00707552"/>
    <w:rsid w:val="00712C13"/>
    <w:rsid w:val="007140B4"/>
    <w:rsid w:val="00755AF0"/>
    <w:rsid w:val="0076275D"/>
    <w:rsid w:val="00786754"/>
    <w:rsid w:val="00790C5A"/>
    <w:rsid w:val="00796A36"/>
    <w:rsid w:val="007A3ADB"/>
    <w:rsid w:val="007A3BF1"/>
    <w:rsid w:val="007B1640"/>
    <w:rsid w:val="007D4F26"/>
    <w:rsid w:val="007E1FD5"/>
    <w:rsid w:val="007E542E"/>
    <w:rsid w:val="007F5A49"/>
    <w:rsid w:val="008471B6"/>
    <w:rsid w:val="0085185F"/>
    <w:rsid w:val="00862BBA"/>
    <w:rsid w:val="00885D74"/>
    <w:rsid w:val="00887811"/>
    <w:rsid w:val="00896E46"/>
    <w:rsid w:val="008A069E"/>
    <w:rsid w:val="008C6EBD"/>
    <w:rsid w:val="008D1917"/>
    <w:rsid w:val="008D2111"/>
    <w:rsid w:val="008F2EF5"/>
    <w:rsid w:val="008F52F9"/>
    <w:rsid w:val="0090013C"/>
    <w:rsid w:val="00914DD7"/>
    <w:rsid w:val="00915155"/>
    <w:rsid w:val="00926768"/>
    <w:rsid w:val="00933BCE"/>
    <w:rsid w:val="00941AB3"/>
    <w:rsid w:val="00964725"/>
    <w:rsid w:val="00970846"/>
    <w:rsid w:val="00970EBC"/>
    <w:rsid w:val="00977A89"/>
    <w:rsid w:val="009901F1"/>
    <w:rsid w:val="009904C6"/>
    <w:rsid w:val="009933A8"/>
    <w:rsid w:val="009C3EA7"/>
    <w:rsid w:val="009D234D"/>
    <w:rsid w:val="009D3BAA"/>
    <w:rsid w:val="009D4192"/>
    <w:rsid w:val="009E036C"/>
    <w:rsid w:val="009E7D45"/>
    <w:rsid w:val="00A366BC"/>
    <w:rsid w:val="00A37745"/>
    <w:rsid w:val="00A52A67"/>
    <w:rsid w:val="00A551A7"/>
    <w:rsid w:val="00A6093D"/>
    <w:rsid w:val="00A61FC3"/>
    <w:rsid w:val="00A679B9"/>
    <w:rsid w:val="00A7532E"/>
    <w:rsid w:val="00A8380A"/>
    <w:rsid w:val="00AB557D"/>
    <w:rsid w:val="00AB620E"/>
    <w:rsid w:val="00AE57DE"/>
    <w:rsid w:val="00AE627B"/>
    <w:rsid w:val="00AF118F"/>
    <w:rsid w:val="00AF4D80"/>
    <w:rsid w:val="00AF566E"/>
    <w:rsid w:val="00AF672A"/>
    <w:rsid w:val="00B064D7"/>
    <w:rsid w:val="00B311DE"/>
    <w:rsid w:val="00B36494"/>
    <w:rsid w:val="00B409FA"/>
    <w:rsid w:val="00B823AD"/>
    <w:rsid w:val="00B9326E"/>
    <w:rsid w:val="00BA241D"/>
    <w:rsid w:val="00BB472C"/>
    <w:rsid w:val="00BC6392"/>
    <w:rsid w:val="00BD67F5"/>
    <w:rsid w:val="00BE4D95"/>
    <w:rsid w:val="00BF491D"/>
    <w:rsid w:val="00C014AD"/>
    <w:rsid w:val="00C05C6E"/>
    <w:rsid w:val="00C12A5C"/>
    <w:rsid w:val="00C21DBB"/>
    <w:rsid w:val="00C27F8A"/>
    <w:rsid w:val="00C3105B"/>
    <w:rsid w:val="00C3281A"/>
    <w:rsid w:val="00C75839"/>
    <w:rsid w:val="00C86D04"/>
    <w:rsid w:val="00C90F41"/>
    <w:rsid w:val="00CA67D9"/>
    <w:rsid w:val="00CB4BCB"/>
    <w:rsid w:val="00CE196B"/>
    <w:rsid w:val="00CF0AF5"/>
    <w:rsid w:val="00CF1A91"/>
    <w:rsid w:val="00D47FA2"/>
    <w:rsid w:val="00D81566"/>
    <w:rsid w:val="00D927D8"/>
    <w:rsid w:val="00D96966"/>
    <w:rsid w:val="00DA07E7"/>
    <w:rsid w:val="00DA2F18"/>
    <w:rsid w:val="00DB5069"/>
    <w:rsid w:val="00DC4193"/>
    <w:rsid w:val="00DE5189"/>
    <w:rsid w:val="00DE5DBB"/>
    <w:rsid w:val="00E107BD"/>
    <w:rsid w:val="00E12B5F"/>
    <w:rsid w:val="00E15497"/>
    <w:rsid w:val="00E21C11"/>
    <w:rsid w:val="00E26594"/>
    <w:rsid w:val="00E41AB5"/>
    <w:rsid w:val="00E43EFC"/>
    <w:rsid w:val="00E62E06"/>
    <w:rsid w:val="00E63F26"/>
    <w:rsid w:val="00E668E6"/>
    <w:rsid w:val="00E767E2"/>
    <w:rsid w:val="00E77437"/>
    <w:rsid w:val="00E7797B"/>
    <w:rsid w:val="00E833A6"/>
    <w:rsid w:val="00E86DD1"/>
    <w:rsid w:val="00E93508"/>
    <w:rsid w:val="00E95F34"/>
    <w:rsid w:val="00EB120B"/>
    <w:rsid w:val="00EB680E"/>
    <w:rsid w:val="00EC1470"/>
    <w:rsid w:val="00ED1A5D"/>
    <w:rsid w:val="00EE1480"/>
    <w:rsid w:val="00F15B9C"/>
    <w:rsid w:val="00F61362"/>
    <w:rsid w:val="00F638FE"/>
    <w:rsid w:val="00F84D39"/>
    <w:rsid w:val="00FA3763"/>
    <w:rsid w:val="00FA45F7"/>
    <w:rsid w:val="00FC4181"/>
    <w:rsid w:val="00FC4A39"/>
    <w:rsid w:val="00FF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82FCD"/>
  <w15:chartTrackingRefBased/>
  <w15:docId w15:val="{2F4FAF48-75E1-4F80-96BA-41B91FAD8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A67"/>
    <w:pPr>
      <w:spacing w:before="60" w:after="140" w:line="300" w:lineRule="exact"/>
      <w:jc w:val="both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52A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2A6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52A67"/>
    <w:pPr>
      <w:spacing w:before="480" w:line="276" w:lineRule="auto"/>
      <w:outlineLvl w:val="9"/>
    </w:pPr>
    <w:rPr>
      <w:b/>
      <w:bCs/>
      <w:color w:val="CB0017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6F2C7F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2C7F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6F2C7F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2C7F"/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creativecommons.org/l/by-sa/4.0/80x15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iberimaginario.es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Carmen Gálvez De La Cuesta</dc:creator>
  <cp:keywords/>
  <dc:description/>
  <cp:lastModifiedBy>Maria Del Carmen Gálvez De La Cuesta</cp:lastModifiedBy>
  <cp:revision>3</cp:revision>
  <cp:lastPrinted>2022-09-28T14:12:00Z</cp:lastPrinted>
  <dcterms:created xsi:type="dcterms:W3CDTF">2022-09-25T17:15:00Z</dcterms:created>
  <dcterms:modified xsi:type="dcterms:W3CDTF">2022-09-28T14:12:00Z</dcterms:modified>
</cp:coreProperties>
</file>