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89"/>
        <w:ind w:left="1509" w:right="1509" w:firstLine="0"/>
        <w:jc w:val="center"/>
        <w:rPr>
          <w:b/>
          <w:sz w:val="36"/>
        </w:rPr>
      </w:pPr>
      <w:r>
        <w:rPr>
          <w:b/>
          <w:sz w:val="36"/>
        </w:rPr>
        <w:t>GUÍA DOCENTE</w:t>
      </w:r>
    </w:p>
    <w:p>
      <w:pPr>
        <w:spacing w:before="266"/>
        <w:ind w:left="1509" w:right="1509" w:firstLine="0"/>
        <w:jc w:val="center"/>
        <w:rPr>
          <w:b/>
          <w:sz w:val="36"/>
        </w:rPr>
      </w:pPr>
      <w:r>
        <w:rPr>
          <w:b/>
          <w:sz w:val="36"/>
        </w:rPr>
        <w:t>DISEÑO Y ARQUITECTURA DEL SOFTWARE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3"/>
        <w:rPr>
          <w:b/>
          <w:sz w:val="42"/>
        </w:rPr>
      </w:pPr>
    </w:p>
    <w:p>
      <w:pPr>
        <w:spacing w:before="0"/>
        <w:ind w:left="1509" w:right="1509" w:firstLine="0"/>
        <w:jc w:val="center"/>
        <w:rPr>
          <w:b/>
          <w:sz w:val="36"/>
        </w:rPr>
      </w:pPr>
      <w:r>
        <w:rPr>
          <w:b/>
          <w:sz w:val="36"/>
        </w:rPr>
        <w:t>GRADO EN INGENIERÍA DEL SOFTWARE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3"/>
        <w:rPr>
          <w:b/>
          <w:sz w:val="42"/>
        </w:rPr>
      </w:pPr>
    </w:p>
    <w:p>
      <w:pPr>
        <w:spacing w:before="0"/>
        <w:ind w:left="1509" w:right="1509" w:firstLine="0"/>
        <w:jc w:val="center"/>
        <w:rPr>
          <w:b/>
          <w:sz w:val="36"/>
        </w:rPr>
      </w:pPr>
      <w:r>
        <w:rPr>
          <w:b/>
          <w:sz w:val="36"/>
        </w:rPr>
        <w:t>CURSO 2022-23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08" w:lineRule="auto"/>
        <w:ind w:left="255" w:right="6712"/>
      </w:pPr>
      <w:r>
        <w:rPr/>
        <w:t>©2022 Autor Capilla Sevilla, Rafael</w:t>
      </w:r>
      <w:r>
        <w:rPr>
          <w:spacing w:val="-65"/>
        </w:rPr>
        <w:t> </w:t>
      </w:r>
      <w:r>
        <w:rPr/>
        <w:t>Algunos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reservados</w:t>
      </w:r>
    </w:p>
    <w:p>
      <w:pPr>
        <w:pStyle w:val="BodyText"/>
        <w:spacing w:line="229" w:lineRule="exact"/>
        <w:ind w:left="255"/>
      </w:pPr>
      <w:r>
        <w:rPr/>
        <w:t>Este</w:t>
      </w:r>
      <w:r>
        <w:rPr>
          <w:spacing w:val="-5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distribuye</w:t>
      </w:r>
      <w:r>
        <w:rPr>
          <w:spacing w:val="-5"/>
        </w:rPr>
        <w:t> </w:t>
      </w:r>
      <w:r>
        <w:rPr/>
        <w:t>bajo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licencia</w:t>
      </w:r>
    </w:p>
    <w:p>
      <w:pPr>
        <w:pStyle w:val="BodyText"/>
        <w:spacing w:line="208" w:lineRule="auto" w:before="11"/>
        <w:ind w:left="255" w:right="3221"/>
      </w:pPr>
      <w:r>
        <w:rPr/>
        <w:t>“Atribución-CompartirIgual 4.0 Internacional” de Creative Commons,</w:t>
      </w:r>
      <w:r>
        <w:rPr>
          <w:spacing w:val="-65"/>
        </w:rPr>
        <w:t> </w:t>
      </w:r>
      <w:r>
        <w:rPr/>
        <w:t>disponible</w:t>
      </w:r>
      <w:r>
        <w:rPr>
          <w:spacing w:val="-2"/>
        </w:rPr>
        <w:t> </w:t>
      </w:r>
      <w:r>
        <w:rPr/>
        <w:t>en</w:t>
      </w:r>
    </w:p>
    <w:p>
      <w:pPr>
        <w:pStyle w:val="BodyText"/>
        <w:spacing w:line="247" w:lineRule="exact"/>
        <w:ind w:left="255"/>
      </w:pPr>
      <w:r>
        <w:rPr/>
        <w:t>https://creativecommons.org/licenses/by-sa/4.0/deed.es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0" w:right="137" w:firstLine="0"/>
        <w:jc w:val="right"/>
        <w:rPr>
          <w:sz w:val="18"/>
        </w:rPr>
      </w:pPr>
      <w:r>
        <w:rPr>
          <w:sz w:val="18"/>
        </w:rPr>
        <w:t>Fecha de publicación: 11-07-2022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34pt;margin-top:11.8817pt;width:527pt;height:.5pt;mso-position-horizontal-relative:page;mso-position-vertical-relative:paragraph;z-index:-15728640;mso-wrap-distance-left:0;mso-wrap-distance-right:0" id="docshapegroup1" coordorigin="680,238" coordsize="10540,10">
            <v:line style="position:absolute" from="680,243" to="9744,243" stroked="true" strokeweight=".5pt" strokecolor="#000000">
              <v:stroke dashstyle="solid"/>
            </v:line>
            <v:line style="position:absolute" from="9744,243" to="11220,243" stroked="true" strokeweight=".5pt" strokecolor="#000000">
              <v:stroke dashstyle="solid"/>
            </v:line>
            <w10:wrap type="topAndBottom"/>
          </v:group>
        </w:pict>
      </w:r>
    </w:p>
    <w:p>
      <w:pPr>
        <w:spacing w:before="47"/>
        <w:ind w:left="140" w:right="0" w:firstLine="0"/>
        <w:jc w:val="left"/>
        <w:rPr>
          <w:sz w:val="20"/>
        </w:rPr>
      </w:pPr>
      <w:r>
        <w:rPr>
          <w:sz w:val="20"/>
        </w:rPr>
        <w:t>Vicerrectorado de Calidad, Ética y Buen Gobierno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600" w:bottom="0" w:left="580" w:right="580"/>
        </w:sect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0"/>
        <w:gridCol w:w="5230"/>
      </w:tblGrid>
      <w:tr>
        <w:trPr>
          <w:trHeight w:val="482" w:hRule="atLeast"/>
        </w:trPr>
        <w:tc>
          <w:tcPr>
            <w:tcW w:w="10460" w:type="dxa"/>
            <w:gridSpan w:val="2"/>
            <w:tcBorders>
              <w:bottom w:val="single" w:sz="12" w:space="0" w:color="000000"/>
            </w:tcBorders>
            <w:shd w:val="clear" w:color="auto" w:fill="D1CCBF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I.-Identificación de la Asignatura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OBLIGATORIA</w:t>
            </w:r>
          </w:p>
        </w:tc>
      </w:tr>
      <w:tr>
        <w:trPr>
          <w:trHeight w:val="487" w:hRule="atLeast"/>
        </w:trPr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Período de impartición</w:t>
            </w:r>
          </w:p>
        </w:tc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curso, 1Q semestre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Nº de créditos</w:t>
            </w:r>
          </w:p>
        </w:tc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Idioma en el que se imparte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Castellano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34pt;margin-top:812pt;width:527pt;height:17pt;mso-position-horizontal-relative:page;mso-position-vertical-relative:page;z-index:-16090112" id="docshape5" coordorigin="680,16240" coordsize="10540,340" path="m9744,16580l9744,16240m680,16240l9744,16240m11220,16580l11220,16240m9744,16580l11220,16580m9744,16240l11220,16240m11220,16580l11220,16240m9744,16580l11220,16580m9744,16240l11220,16240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0"/>
      </w:tblGrid>
      <w:tr>
        <w:trPr>
          <w:trHeight w:val="487" w:hRule="atLeast"/>
        </w:trPr>
        <w:tc>
          <w:tcPr>
            <w:tcW w:w="10460" w:type="dxa"/>
            <w:shd w:val="clear" w:color="auto" w:fill="D1CCBF"/>
          </w:tcPr>
          <w:p>
            <w:pPr>
              <w:pStyle w:val="TableParagraph"/>
              <w:spacing w:before="6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II.-Presentación</w:t>
            </w:r>
          </w:p>
        </w:tc>
      </w:tr>
      <w:tr>
        <w:trPr>
          <w:trHeight w:val="3187" w:hRule="atLeast"/>
        </w:trPr>
        <w:tc>
          <w:tcPr>
            <w:tcW w:w="1046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72"/>
              <w:jc w:val="both"/>
              <w:rPr>
                <w:sz w:val="18"/>
              </w:rPr>
            </w:pPr>
            <w:r>
              <w:rPr>
                <w:sz w:val="18"/>
              </w:rPr>
              <w:t>La asignatura de Diseño y Arquitectura de software se puede considerar una asignatura central dentro de la materia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Ingeniería de Software. Continúa y concreta los aspectos iniciados en la asignatura de Análisis e Ingeniería de Requisitos,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junto con ella constituye el núcleo básico de la Ingeniería de Software "clásica". Se puede considerar, además, que 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asignatura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sirve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fundamento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Evolución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Adaptación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Software.</w:t>
            </w:r>
          </w:p>
          <w:p>
            <w:pPr>
              <w:pStyle w:val="TableParagraph"/>
              <w:spacing w:line="312" w:lineRule="auto" w:before="4"/>
              <w:ind w:right="75"/>
              <w:jc w:val="both"/>
              <w:rPr>
                <w:sz w:val="18"/>
              </w:rPr>
            </w:pPr>
            <w:r>
              <w:rPr>
                <w:sz w:val="18"/>
              </w:rPr>
              <w:t>Es también la asignatura que supone el enlace entre la materia de Ingeniería de Software y la de Programación; esto es, es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asignatura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explora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detalla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relación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ambas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materias.</w:t>
            </w:r>
          </w:p>
          <w:p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Requisitos previos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line="312" w:lineRule="auto" w:before="63"/>
              <w:ind w:right="75"/>
              <w:jc w:val="both"/>
              <w:rPr>
                <w:sz w:val="18"/>
              </w:rPr>
            </w:pPr>
            <w:r>
              <w:rPr>
                <w:sz w:val="18"/>
              </w:rPr>
              <w:t>Esta asignatura asume que el alumno ha superado la asignatura de Análisis e Ingeniería de Requisitos (aunque no requiere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manera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explícita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aprobado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ésta).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BodyText"/>
        <w:spacing w:before="6" w:after="1"/>
        <w:rPr>
          <w:sz w:val="29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0"/>
      </w:tblGrid>
      <w:tr>
        <w:trPr>
          <w:trHeight w:val="482" w:hRule="atLeast"/>
        </w:trPr>
        <w:tc>
          <w:tcPr>
            <w:tcW w:w="10460" w:type="dxa"/>
            <w:tcBorders>
              <w:bottom w:val="single" w:sz="12" w:space="0" w:color="000000"/>
            </w:tcBorders>
            <w:shd w:val="clear" w:color="auto" w:fill="D1CCBF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III.-Competencias</w:t>
            </w:r>
          </w:p>
        </w:tc>
      </w:tr>
      <w:tr>
        <w:trPr>
          <w:trHeight w:val="477" w:hRule="atLeast"/>
        </w:trPr>
        <w:tc>
          <w:tcPr>
            <w:tcW w:w="104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Competencias Generales</w:t>
            </w:r>
          </w:p>
        </w:tc>
      </w:tr>
      <w:tr>
        <w:trPr>
          <w:trHeight w:val="3182" w:hRule="atLeast"/>
        </w:trPr>
        <w:tc>
          <w:tcPr>
            <w:tcW w:w="10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324"/>
              <w:rPr>
                <w:sz w:val="18"/>
              </w:rPr>
            </w:pPr>
            <w:r>
              <w:rPr>
                <w:sz w:val="18"/>
              </w:rPr>
              <w:t>CG01. Capacidad para concebir, redactar, organizar, planificar, desarrollar y firmar proyectos en el ámbito de la ingeniería en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informática que tengan por objeto, la concepción, el desarrollo o la explotación de sistemas, servicios y aplicaciones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informáticas.</w:t>
            </w:r>
          </w:p>
          <w:p>
            <w:pPr>
              <w:pStyle w:val="TableParagraph"/>
              <w:spacing w:line="312" w:lineRule="auto" w:before="3"/>
              <w:ind w:right="654"/>
              <w:rPr>
                <w:sz w:val="18"/>
              </w:rPr>
            </w:pPr>
            <w:r>
              <w:rPr>
                <w:sz w:val="18"/>
              </w:rPr>
              <w:t>CG04. Capacidad para definir, evaluar y seleccionar plataformas hardware y software para el desarrollo y la ejecución de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sistemas, servicios y aplicaciones informáticas</w:t>
            </w:r>
          </w:p>
          <w:p>
            <w:pPr>
              <w:pStyle w:val="TableParagraph"/>
              <w:spacing w:line="312" w:lineRule="auto" w:before="1"/>
              <w:ind w:right="125"/>
              <w:rPr>
                <w:sz w:val="18"/>
              </w:rPr>
            </w:pPr>
            <w:r>
              <w:rPr>
                <w:sz w:val="18"/>
              </w:rPr>
              <w:t>CG05. Capacidad para concebir, desarrollar y mantener sistemas, servicios y aplicaciones informáticas empleando los métodos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de la ingeniería del software como instrumento para el aseguramiento de su calidad</w:t>
            </w:r>
          </w:p>
          <w:p>
            <w:pPr>
              <w:pStyle w:val="TableParagraph"/>
              <w:spacing w:line="312" w:lineRule="auto" w:before="2"/>
              <w:ind w:right="565"/>
              <w:rPr>
                <w:sz w:val="18"/>
              </w:rPr>
            </w:pPr>
            <w:r>
              <w:rPr>
                <w:sz w:val="18"/>
              </w:rPr>
              <w:t>CG06. Capacidad para concebir y desarrollar sistemas o arquitecturas informáticas centralizadas o distribuidas integrando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hardware, software y redes</w:t>
            </w:r>
          </w:p>
          <w:p>
            <w:pPr>
              <w:pStyle w:val="TableParagraph"/>
              <w:spacing w:line="312" w:lineRule="auto" w:before="2"/>
              <w:ind w:right="813"/>
              <w:rPr>
                <w:sz w:val="18"/>
              </w:rPr>
            </w:pPr>
            <w:r>
              <w:rPr>
                <w:sz w:val="18"/>
              </w:rPr>
              <w:t>CB5. Que los estudiantes hayan desarrollado aquellas habilidades de aprendizaje necesarias para emprender estudios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posteriores con un alto grado de autonomía</w:t>
            </w:r>
          </w:p>
        </w:tc>
      </w:tr>
    </w:tbl>
    <w:p>
      <w:pPr>
        <w:spacing w:after="0" w:line="312" w:lineRule="auto"/>
        <w:rPr>
          <w:sz w:val="18"/>
        </w:rPr>
        <w:sectPr>
          <w:footerReference w:type="default" r:id="rId5"/>
          <w:pgSz w:w="11900" w:h="16840"/>
          <w:pgMar w:footer="261" w:header="0" w:top="1380" w:bottom="917" w:left="580" w:right="580"/>
          <w:pgNumType w:start="2"/>
        </w:sect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0"/>
      </w:tblGrid>
      <w:tr>
        <w:trPr>
          <w:trHeight w:val="482" w:hRule="atLeast"/>
        </w:trPr>
        <w:tc>
          <w:tcPr>
            <w:tcW w:w="104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Competencias Específicas</w:t>
            </w:r>
          </w:p>
        </w:tc>
      </w:tr>
      <w:tr>
        <w:trPr>
          <w:trHeight w:val="2642" w:hRule="atLeast"/>
        </w:trPr>
        <w:tc>
          <w:tcPr>
            <w:tcW w:w="10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125"/>
              <w:rPr>
                <w:sz w:val="18"/>
              </w:rPr>
            </w:pPr>
            <w:r>
              <w:rPr>
                <w:sz w:val="18"/>
              </w:rPr>
              <w:t>CE02. Capacidad para planificar, concebir, desplegar y dirigir proyectos, servicios y sistemas informáticos en todos los ámbitos,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liderando su puesta en marcha y su mejora continua y valorando su impacto económico y social.</w:t>
            </w:r>
          </w:p>
          <w:p>
            <w:pPr>
              <w:pStyle w:val="TableParagraph"/>
              <w:spacing w:line="312" w:lineRule="auto" w:before="2"/>
              <w:ind w:right="854"/>
              <w:rPr>
                <w:sz w:val="18"/>
              </w:rPr>
            </w:pPr>
            <w:r>
              <w:rPr>
                <w:sz w:val="18"/>
              </w:rPr>
              <w:t>CE03. Capacidad para comprender la importancia de la negociación, los hábitos de trabajo efectivos, el liderazgo y las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habilidades de comunicación en todos los entornos de desarrollo de software.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CE18. Conocimiento de la normativa y la regulación de la informática en los ámbitos nacional, europeo e internacional.</w:t>
            </w:r>
          </w:p>
          <w:p>
            <w:pPr>
              <w:pStyle w:val="TableParagraph"/>
              <w:spacing w:line="312" w:lineRule="auto" w:before="63"/>
              <w:ind w:right="404"/>
              <w:rPr>
                <w:sz w:val="18"/>
              </w:rPr>
            </w:pPr>
            <w:r>
              <w:rPr>
                <w:sz w:val="18"/>
              </w:rPr>
              <w:t>E1.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Capacidad para desarrollar, mantener y evaluar servicios y sistemas software que satisfagan todos los requisitos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usuario y se comporten de forma fiable y eficiente, sean asequibles de desarrollar y mantener y cumplan normas de calidad,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aplicando las teorías, principios, métodos y prácticas de la Ingeniería del Software.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E3. Capacidad de dar solución a problemas de integración en función de las estrategias, estándares y tecnologías disponibles.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00" w:h="16840"/>
          <w:pgMar w:header="0" w:footer="261" w:top="1380" w:bottom="520" w:left="580" w:right="580"/>
        </w:sect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0"/>
      </w:tblGrid>
      <w:tr>
        <w:trPr>
          <w:trHeight w:val="3661" w:hRule="atLeast"/>
        </w:trPr>
        <w:tc>
          <w:tcPr>
            <w:tcW w:w="10460" w:type="dxa"/>
          </w:tcPr>
          <w:p>
            <w:pPr>
              <w:pStyle w:val="TableParagraph"/>
              <w:spacing w:before="3"/>
              <w:ind w:left="0"/>
              <w:rPr>
                <w:sz w:val="25"/>
              </w:rPr>
            </w:pPr>
          </w:p>
          <w:p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IV.-Contenido</w:t>
            </w:r>
          </w:p>
          <w:p>
            <w:pPr>
              <w:pStyle w:val="TableParagraph"/>
              <w:spacing w:line="400" w:lineRule="atLeast" w:before="108"/>
              <w:ind w:right="7639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IV.A.-Temario de la asignatura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Parte I</w:t>
            </w:r>
          </w:p>
          <w:p>
            <w:pPr>
              <w:pStyle w:val="TableParagraph"/>
              <w:spacing w:line="312" w:lineRule="auto" w:before="70"/>
              <w:ind w:right="4967"/>
              <w:rPr>
                <w:b/>
                <w:sz w:val="18"/>
              </w:rPr>
            </w:pPr>
            <w:r>
              <w:rPr>
                <w:b/>
                <w:sz w:val="18"/>
              </w:rPr>
              <w:t>Tema 1</w:t>
            </w:r>
            <w:r>
              <w:rPr>
                <w:sz w:val="18"/>
              </w:rPr>
              <w:t>: Concepto de Arquitectura Software y Principios de Diseño</w:t>
            </w:r>
            <w:r>
              <w:rPr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Tema 2</w:t>
            </w:r>
            <w:r>
              <w:rPr>
                <w:sz w:val="18"/>
              </w:rPr>
              <w:t>: Arquitecturas de Sistemas Complejos en la Industria 4.0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Parte II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b/>
                <w:sz w:val="18"/>
              </w:rPr>
              <w:t>Tema 3</w:t>
            </w:r>
            <w:r>
              <w:rPr>
                <w:sz w:val="18"/>
              </w:rPr>
              <w:t>: Estilos Arquitectónicos y Patrones de Diseño</w:t>
            </w:r>
          </w:p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b/>
                <w:sz w:val="18"/>
              </w:rPr>
              <w:t>Tema 4</w:t>
            </w:r>
            <w:r>
              <w:rPr>
                <w:sz w:val="18"/>
              </w:rPr>
              <w:t>: Decisiones de Diseño y Conocimiento Arquitectónico</w:t>
            </w:r>
          </w:p>
          <w:p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>Parte III</w:t>
            </w:r>
          </w:p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b/>
                <w:sz w:val="18"/>
              </w:rPr>
              <w:t>Tema 5</w:t>
            </w:r>
            <w:r>
              <w:rPr>
                <w:sz w:val="18"/>
              </w:rPr>
              <w:t>: Evaluación de Atributos de Calidad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group style="position:absolute;margin-left:40.5pt;margin-top:74.5pt;width:514pt;height:51.75pt;mso-position-horizontal-relative:page;mso-position-vertical-relative:page;z-index:-16089600" id="docshapegroup6" coordorigin="810,1490" coordsize="10280,1035">
            <v:rect style="position:absolute;left:820;top:1500;width:10260;height:508" id="docshape7" filled="true" fillcolor="#d1ccbf" stroked="false">
              <v:fill type="solid"/>
            </v:rect>
            <v:shape style="position:absolute;left:820;top:1500;width:10260;height:1015" id="docshape8" coordorigin="820,1500" coordsize="10260,1015" path="m820,2007l11080,2007,11080,1500,820,1500,820,2007xm820,2515l11080,2515,11080,2007,820,2007,820,2515x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0"/>
        <w:gridCol w:w="5230"/>
      </w:tblGrid>
      <w:tr>
        <w:trPr>
          <w:trHeight w:val="482" w:hRule="atLeast"/>
        </w:trPr>
        <w:tc>
          <w:tcPr>
            <w:tcW w:w="10460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IV.B.-Actividades formativas</w:t>
            </w:r>
          </w:p>
        </w:tc>
      </w:tr>
      <w:tr>
        <w:trPr>
          <w:trHeight w:val="477" w:hRule="atLeast"/>
        </w:trPr>
        <w:tc>
          <w:tcPr>
            <w:tcW w:w="5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5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</w:tr>
      <w:tr>
        <w:trPr>
          <w:trHeight w:val="102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Lecturas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315"/>
              <w:jc w:val="both"/>
              <w:rPr>
                <w:sz w:val="18"/>
              </w:rPr>
            </w:pPr>
            <w:r>
              <w:rPr>
                <w:sz w:val="18"/>
              </w:rPr>
              <w:t>A lo largo del desarrollo de la asignatura se indicarán varias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lecturas opcionales (la mayoría de ellas, necesariamente en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inglés)</w:t>
            </w:r>
          </w:p>
        </w:tc>
      </w:tr>
    </w:tbl>
    <w:p>
      <w:pPr>
        <w:spacing w:after="0" w:line="312" w:lineRule="auto"/>
        <w:jc w:val="both"/>
        <w:rPr>
          <w:sz w:val="18"/>
        </w:rPr>
        <w:sectPr>
          <w:pgSz w:w="11900" w:h="16840"/>
          <w:pgMar w:header="0" w:footer="261" w:top="1380" w:bottom="520" w:left="580" w:right="580"/>
        </w:sect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0"/>
        <w:gridCol w:w="5230"/>
      </w:tblGrid>
      <w:tr>
        <w:trPr>
          <w:trHeight w:val="482" w:hRule="atLeast"/>
        </w:trPr>
        <w:tc>
          <w:tcPr>
            <w:tcW w:w="10460" w:type="dxa"/>
            <w:gridSpan w:val="2"/>
            <w:tcBorders>
              <w:bottom w:val="single" w:sz="12" w:space="0" w:color="000000"/>
            </w:tcBorders>
            <w:shd w:val="clear" w:color="auto" w:fill="D1CCBF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V.-Tiempo de Trabajo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Clases teóricas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87" w:hRule="atLeast"/>
        </w:trPr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Clases prácticas de resolución de problemas, casos, etc.</w:t>
            </w:r>
          </w:p>
        </w:tc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Prácticas en laboratorios tecnológicos, clínicos, etc.</w:t>
            </w:r>
          </w:p>
        </w:tc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477" w:hRule="atLeast"/>
        </w:trPr>
        <w:tc>
          <w:tcPr>
            <w:tcW w:w="5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Realización de pruebas</w:t>
            </w:r>
          </w:p>
        </w:tc>
        <w:tc>
          <w:tcPr>
            <w:tcW w:w="5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Tutorías académicas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487" w:hRule="atLeast"/>
        </w:trPr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Actividades relacionadas: jornadas, seminarios, etc.</w:t>
            </w:r>
          </w:p>
        </w:tc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Preparación de clases teóricas</w:t>
            </w:r>
          </w:p>
        </w:tc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Preparación de clases prácticas/problemas/casos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87" w:hRule="atLeast"/>
        </w:trPr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Preparación de pruebas</w:t>
            </w:r>
          </w:p>
        </w:tc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>
        <w:trPr>
          <w:trHeight w:val="487" w:hRule="atLeast"/>
        </w:trPr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Total de horas de trabajo del estudiante</w:t>
            </w:r>
          </w:p>
        </w:tc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487.220001pt;margin-top:812pt;width:73.8pt;height:17pt;mso-position-horizontal-relative:page;mso-position-vertical-relative:page;z-index:15730176" id="docshape9" coordorigin="9744,16240" coordsize="1476,340" path="m9744,16580l9744,16240m11220,16580l11220,16240m9744,16580l11220,16580m9744,16240l11220,16240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7"/>
        <w:gridCol w:w="3487"/>
        <w:gridCol w:w="3487"/>
      </w:tblGrid>
      <w:tr>
        <w:trPr>
          <w:trHeight w:val="487" w:hRule="atLeast"/>
        </w:trPr>
        <w:tc>
          <w:tcPr>
            <w:tcW w:w="10461" w:type="dxa"/>
            <w:gridSpan w:val="3"/>
            <w:shd w:val="clear" w:color="auto" w:fill="D1CCBF"/>
          </w:tcPr>
          <w:p>
            <w:pPr>
              <w:pStyle w:val="TableParagraph"/>
              <w:spacing w:before="6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VI.-Metodología y plan de trabajo</w:t>
            </w:r>
          </w:p>
        </w:tc>
      </w:tr>
      <w:tr>
        <w:trPr>
          <w:trHeight w:val="482" w:hRule="atLeast"/>
        </w:trPr>
        <w:tc>
          <w:tcPr>
            <w:tcW w:w="34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348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Periodo</w:t>
            </w:r>
          </w:p>
        </w:tc>
        <w:tc>
          <w:tcPr>
            <w:tcW w:w="348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Contenido</w:t>
            </w:r>
          </w:p>
        </w:tc>
      </w:tr>
      <w:tr>
        <w:trPr>
          <w:trHeight w:val="482" w:hRule="atLeast"/>
        </w:trPr>
        <w:tc>
          <w:tcPr>
            <w:tcW w:w="34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Clases Teóricas</w:t>
            </w:r>
          </w:p>
        </w:tc>
        <w:tc>
          <w:tcPr>
            <w:tcW w:w="348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Semana 1 a Semana 5</w:t>
            </w:r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Clases de teoría y dudas</w:t>
            </w:r>
          </w:p>
        </w:tc>
      </w:tr>
      <w:tr>
        <w:trPr>
          <w:trHeight w:val="482" w:hRule="atLeast"/>
        </w:trPr>
        <w:tc>
          <w:tcPr>
            <w:tcW w:w="34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Prácticas</w:t>
            </w:r>
          </w:p>
        </w:tc>
        <w:tc>
          <w:tcPr>
            <w:tcW w:w="348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Semana 6 a Semana 10</w:t>
            </w:r>
          </w:p>
        </w:tc>
        <w:tc>
          <w:tcPr>
            <w:tcW w:w="348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Practica 1 y TEST</w:t>
            </w:r>
          </w:p>
        </w:tc>
      </w:tr>
      <w:tr>
        <w:trPr>
          <w:trHeight w:val="482" w:hRule="atLeast"/>
        </w:trPr>
        <w:tc>
          <w:tcPr>
            <w:tcW w:w="34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Prácticas</w:t>
            </w:r>
          </w:p>
        </w:tc>
        <w:tc>
          <w:tcPr>
            <w:tcW w:w="348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Semana 11 a Semana 15</w:t>
            </w:r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Practica 2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0" w:footer="261" w:top="1380" w:bottom="460" w:left="580" w:right="580"/>
        </w:sect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0"/>
      </w:tblGrid>
      <w:tr>
        <w:trPr>
          <w:trHeight w:val="482" w:hRule="atLeast"/>
        </w:trPr>
        <w:tc>
          <w:tcPr>
            <w:tcW w:w="10460" w:type="dxa"/>
            <w:tcBorders>
              <w:bottom w:val="single" w:sz="12" w:space="0" w:color="000000"/>
            </w:tcBorders>
            <w:shd w:val="clear" w:color="auto" w:fill="D1CCBF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VII.-Métodos de evaluación</w:t>
            </w:r>
          </w:p>
        </w:tc>
      </w:tr>
      <w:tr>
        <w:trPr>
          <w:trHeight w:val="482" w:hRule="atLeast"/>
        </w:trPr>
        <w:tc>
          <w:tcPr>
            <w:tcW w:w="10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VII.A.-Ponderación para la evaluación</w:t>
            </w:r>
          </w:p>
        </w:tc>
      </w:tr>
      <w:tr>
        <w:trPr>
          <w:trHeight w:val="3727" w:hRule="atLeast"/>
        </w:trPr>
        <w:tc>
          <w:tcPr>
            <w:tcW w:w="1046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Evaluación ordinaria continua:</w:t>
            </w:r>
          </w:p>
          <w:p>
            <w:pPr>
              <w:pStyle w:val="TableParagraph"/>
              <w:spacing w:line="312" w:lineRule="auto" w:before="63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>La distribución y características de las pruebas de evaluación son las que se describen a continuación. Solo en casos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excepcionales y especialmente motivados, el profesor podrá incorporar adaptaciones en la Guía. Dichos cambios requerirán,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previa consulta al Responsable de la Asignatura, la autorización previa y expresa del Coordinador de Grado, quien notificará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Vicerrectorado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competencias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Ordenación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realizada.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caso,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modificaciones que se propongan deberán atender a lo establecido en la memoria verificada. Para que tales cambios sean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efectivos,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deberán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debidamente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comunicados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comienzo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curso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Aula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Virtual.</w:t>
            </w:r>
          </w:p>
          <w:p>
            <w:pPr>
              <w:pStyle w:val="TableParagraph"/>
              <w:spacing w:line="312" w:lineRule="auto" w:before="5"/>
              <w:ind w:right="52"/>
              <w:jc w:val="both"/>
              <w:rPr>
                <w:sz w:val="18"/>
              </w:rPr>
            </w:pPr>
            <w:r>
              <w:rPr>
                <w:sz w:val="18"/>
              </w:rPr>
              <w:t>La suma de las actividades no revaluables no podrá superar el 50% de la nota de la asignatura y, en general, no podrán tener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nota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mínima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(salvo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laboratorio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clínicas,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esté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debidamente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justificado),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evitando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incorporar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pruebas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superen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60%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ponderación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asignatura.</w:t>
            </w:r>
          </w:p>
          <w:p>
            <w:pPr>
              <w:pStyle w:val="TableParagraph"/>
              <w:spacing w:line="312" w:lineRule="auto" w:before="3"/>
              <w:ind w:right="7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Evaluación extraordinaria: </w:t>
            </w:r>
            <w:r>
              <w:rPr>
                <w:sz w:val="18"/>
              </w:rPr>
              <w:t>Los estudiantes que no consigan superar la evaluación ordinaria, o no se hayan presentado, serán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objeto de la realización de una evaluación extraordinaria para verificar la adquisición de las competencias establecidas en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guía,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únicamente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evaluación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revaluables.</w:t>
            </w:r>
          </w:p>
        </w:tc>
      </w:tr>
      <w:tr>
        <w:trPr>
          <w:trHeight w:val="482" w:hRule="atLeast"/>
        </w:trPr>
        <w:tc>
          <w:tcPr>
            <w:tcW w:w="104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de las pruebas de evaluación y su ponderación</w:t>
            </w:r>
          </w:p>
        </w:tc>
      </w:tr>
      <w:tr>
        <w:trPr>
          <w:trHeight w:val="6422" w:hRule="atLeast"/>
        </w:trPr>
        <w:tc>
          <w:tcPr>
            <w:tcW w:w="10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SE.1. Test sobre Práctica 1: 30%</w:t>
            </w:r>
          </w:p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SE.4 Practica 1: 20%</w:t>
            </w:r>
          </w:p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SE.2 Práctica 2: 50%</w:t>
            </w:r>
          </w:p>
          <w:p>
            <w:pPr>
              <w:pStyle w:val="TableParagraph"/>
              <w:spacing w:line="312" w:lineRule="auto" w:before="63"/>
              <w:ind w:right="993"/>
              <w:rPr>
                <w:sz w:val="18"/>
              </w:rPr>
            </w:pPr>
            <w:r>
              <w:rPr>
                <w:sz w:val="18"/>
              </w:rPr>
              <w:t>La nota mínima para aprobar en cada parte es 5/10 en casa una de ellas y no se compensan partes por debajo de 5.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Las pruebas son re-evaluables mediante la repetición de las mismas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Conducta académica</w:t>
            </w:r>
          </w:p>
          <w:p>
            <w:pPr>
              <w:pStyle w:val="TableParagraph"/>
              <w:spacing w:line="312" w:lineRule="auto" w:before="63"/>
              <w:ind w:right="71"/>
              <w:jc w:val="both"/>
              <w:rPr>
                <w:sz w:val="18"/>
              </w:rPr>
            </w:pPr>
            <w:r>
              <w:rPr>
                <w:sz w:val="18"/>
              </w:rPr>
              <w:t>Se recuerda que, de conformidad con lo establecido en la Normativa sobre conducta académica de la Universidad Rey Juan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Carlos</w:t>
            </w:r>
            <w:r>
              <w:rPr>
                <w:spacing w:val="1"/>
                <w:sz w:val="18"/>
              </w:rPr>
              <w:t> </w:t>
            </w:r>
            <w:hyperlink r:id="rId6">
              <w:r>
                <w:rPr>
                  <w:sz w:val="18"/>
                </w:rPr>
                <w:t>(https://www.urjc.es/images/Universidad/Presentacion/normativa/Normativa_conducta_academica_URJC.pdf),</w:t>
              </w:r>
              <w:r>
                <w:rPr>
                  <w:spacing w:val="1"/>
                  <w:sz w:val="18"/>
                </w:rPr>
                <w:t> </w:t>
              </w:r>
            </w:hyperlink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estudiantes tienen el deber de ajustar su comportamiento a las disposiciones legales vigentes que les son de aplicación y a 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resoluciones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su</w:t>
            </w:r>
          </w:p>
          <w:p>
            <w:pPr>
              <w:pStyle w:val="TableParagraph"/>
              <w:spacing w:line="312" w:lineRule="auto" w:before="3"/>
              <w:ind w:right="69"/>
              <w:jc w:val="both"/>
              <w:rPr>
                <w:sz w:val="18"/>
              </w:rPr>
            </w:pPr>
            <w:r>
              <w:rPr>
                <w:sz w:val="18"/>
              </w:rPr>
              <w:t>ámbito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adopten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autoridades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académicas.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pleno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académicas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cumplimiento de normas y pautas de comportamiento dirigidas a garantizar los derechos propios de los estudiantes y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cumplimiento de los deberes que les corresponden. La comisión por los estudiantes de alguna de las faltas disciplinarias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señaladas en dicha Normativa será objeto de sanción proporcionada a la gravedad de la falta y concretada atendiendo a 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circunstancias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caso.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concreto,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tal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dispone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punto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6.1.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e)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referida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normativa,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considerará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falta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grave la utilización de medios fraudulentos, con el fin de obtener resultados no merecidos en pruebas de evaluación, 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conlleven la colaboración de agentes externos. Las sanciones correspondientes a las faltas graves consistirán en la expulsión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 temporal o definitiva de la Universidad, con pérdida en su caso de los derechos de matrícula, y, en su caso, de las becas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ayudas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estudiante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estuviese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percibiendo.</w:t>
            </w:r>
          </w:p>
          <w:p>
            <w:pPr>
              <w:pStyle w:val="TableParagraph"/>
              <w:spacing w:line="312" w:lineRule="auto" w:before="9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>En el caso de fraude académico en alguna actividad de evaluación, atendiendo al artículo 7.1.b).2 de la Normativa sobre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conducta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Rey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Juan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Carlos,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otorgará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calificación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cero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puntos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dicha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que,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aquellas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nota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mínima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superior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cero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implica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suspenso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convocatoria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correspondiente.</w:t>
            </w:r>
          </w:p>
        </w:tc>
      </w:tr>
      <w:tr>
        <w:trPr>
          <w:trHeight w:val="487" w:hRule="atLeast"/>
        </w:trPr>
        <w:tc>
          <w:tcPr>
            <w:tcW w:w="1046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VII.B.-Evaluación de estudiantes con dispensa académica de asistencia a clase</w:t>
            </w:r>
          </w:p>
        </w:tc>
      </w:tr>
      <w:tr>
        <w:trPr>
          <w:trHeight w:val="2207" w:hRule="atLeast"/>
        </w:trPr>
        <w:tc>
          <w:tcPr>
            <w:tcW w:w="1046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71"/>
              <w:jc w:val="both"/>
              <w:rPr>
                <w:sz w:val="18"/>
              </w:rPr>
            </w:pPr>
            <w:r>
              <w:rPr>
                <w:sz w:val="18"/>
              </w:rPr>
              <w:t>Para que un alumno pueda optar a esta evaluación, tendrá que obtener la 'Dispensa Académica de asistencia a clase' para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asignatura, que habrá solicitado al Decano/a o Director/a del Centro que imparte su titulación. La Dispensa Académica se podrá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conceder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siempre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peculiaridades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propias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asignatura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permitan.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haya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notificado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concesión de la Dispensa Académica, el docente deberá informar al estudiante a través del Aula Virtual acerca del plan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evaluación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establecido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caso.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45"/>
              <w:jc w:val="both"/>
              <w:rPr>
                <w:sz w:val="18"/>
              </w:rPr>
            </w:pPr>
            <w:r>
              <w:rPr>
                <w:sz w:val="18"/>
              </w:rPr>
              <w:t>Asignatura con posibilidad de dispensa: Si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088576" from="41pt,788.679993pt" to="199.58pt,788.679993pt" stroked="true" strokeweight=".6pt" strokecolor="#000000">
            <v:stroke dashstyle="solid"/>
            <w10:wrap type="none"/>
          </v:line>
        </w:pict>
      </w:r>
      <w:r>
        <w:rPr/>
        <w:pict>
          <v:shape style="position:absolute;margin-left:487.220001pt;margin-top:812pt;width:73.8pt;height:17pt;mso-position-horizontal-relative:page;mso-position-vertical-relative:page;z-index:15731200" id="docshape10" coordorigin="9744,16240" coordsize="1476,340" path="m9744,16580l9744,16240m11220,16580l11220,16240m9744,16580l11220,16580m9744,16240l11220,16240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header="0" w:footer="261" w:top="1380" w:bottom="749" w:left="580" w:right="580"/>
        </w:sect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0"/>
      </w:tblGrid>
      <w:tr>
        <w:trPr>
          <w:trHeight w:val="482" w:hRule="atLeast"/>
        </w:trPr>
        <w:tc>
          <w:tcPr>
            <w:tcW w:w="104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VII.C.-Revisión de las pruebas de evaluación</w:t>
            </w:r>
          </w:p>
        </w:tc>
      </w:tr>
      <w:tr>
        <w:trPr>
          <w:trHeight w:val="482" w:hRule="atLeast"/>
        </w:trPr>
        <w:tc>
          <w:tcPr>
            <w:tcW w:w="10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Conforme a la normativa de reclamación de exámenes de la Universidad Rey Juan Carlos.</w:t>
            </w:r>
          </w:p>
        </w:tc>
      </w:tr>
      <w:tr>
        <w:trPr>
          <w:trHeight w:val="487" w:hRule="atLeast"/>
        </w:trPr>
        <w:tc>
          <w:tcPr>
            <w:tcW w:w="1046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VII.D.-Estudiantes con discapacidad o necesidades educativas especiales</w:t>
            </w:r>
          </w:p>
        </w:tc>
      </w:tr>
      <w:tr>
        <w:trPr>
          <w:trHeight w:val="2102" w:hRule="atLeast"/>
        </w:trPr>
        <w:tc>
          <w:tcPr>
            <w:tcW w:w="104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72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adaptaciones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curriculares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discapacidad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educativas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especiales,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garantizar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 igualdad de oportunidades, no discriminación, la accesibilidad universal y la mayor garantía de éxito académico serán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pautadas por la Unidad de Atención a Personas con Discapacidad en virtud de la Normativa que regula el servicio de Atención 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Estudiantes con Discapacidad, aprobada por Consejo de Gobierno de la Universidad Rey Juan Carlos.</w:t>
            </w:r>
          </w:p>
          <w:p>
            <w:pPr>
              <w:pStyle w:val="TableParagraph"/>
              <w:spacing w:line="312" w:lineRule="auto" w:before="4"/>
              <w:ind w:right="72"/>
              <w:jc w:val="both"/>
              <w:rPr>
                <w:sz w:val="18"/>
              </w:rPr>
            </w:pPr>
            <w:r>
              <w:rPr>
                <w:sz w:val="18"/>
              </w:rPr>
              <w:t>Será requisito para ello la emisión de un informe de adaptaciones curriculares por parte de dicha Unidad, por lo que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estudiantes con discapacidad o necesidades educativas especiales deberán contactar con ella, a fin de analizar conjuntamente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distintas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alternativas.</w:t>
            </w:r>
          </w:p>
        </w:tc>
      </w:tr>
      <w:tr>
        <w:trPr>
          <w:trHeight w:val="477" w:hRule="atLeast"/>
        </w:trPr>
        <w:tc>
          <w:tcPr>
            <w:tcW w:w="104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VII.E.-Conducta Académica, integridad y honestidad académica</w:t>
            </w:r>
          </w:p>
        </w:tc>
      </w:tr>
      <w:tr>
        <w:trPr>
          <w:trHeight w:val="2102" w:hRule="atLeast"/>
        </w:trPr>
        <w:tc>
          <w:tcPr>
            <w:tcW w:w="10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194"/>
              <w:rPr>
                <w:sz w:val="18"/>
              </w:rPr>
            </w:pPr>
            <w:r>
              <w:rPr>
                <w:sz w:val="18"/>
              </w:rPr>
              <w:t>La Universidad Rey Juan Carlos está plenamente comprometida con los más altos estándares de integridad y honestidad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académica, por lo que estudiar en la URJC supone asumir y suscribir los valores de integridad y la honestidad académica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recogidos en el </w:t>
            </w:r>
            <w:hyperlink r:id="rId7">
              <w:r>
                <w:rPr>
                  <w:sz w:val="18"/>
                </w:rPr>
                <w:t>Código Ético de la Universidad (https://www.urjc.es/codigoetico)</w:t>
              </w:r>
            </w:hyperlink>
            <w:r>
              <w:rPr>
                <w:sz w:val="18"/>
              </w:rPr>
              <w:t>. Para acompañar este proceso, la Universidad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dispone de la </w:t>
            </w:r>
            <w:hyperlink r:id="rId8">
              <w:r>
                <w:rPr>
                  <w:sz w:val="18"/>
                </w:rPr>
                <w:t>Normativa sobre conducta académica de la Universidad Rey Juan Carlos</w:t>
              </w:r>
            </w:hyperlink>
            <w:r>
              <w:rPr>
                <w:spacing w:val="1"/>
                <w:sz w:val="18"/>
              </w:rPr>
              <w:t> </w:t>
            </w:r>
            <w:hyperlink r:id="rId8">
              <w:r>
                <w:rPr>
                  <w:sz w:val="18"/>
                </w:rPr>
                <w:t>(https://urjc.es/images/Universidad/Presentacion/normativa/Normativa_conducta_academica_URJC.pdf)</w:t>
              </w:r>
            </w:hyperlink>
            <w:r>
              <w:rPr>
                <w:sz w:val="18"/>
              </w:rPr>
              <w:t> y de diferentes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herramientas (antiplagio, supervisión) que ofrecen una garantía colectiva para el completo desarrollo de estos valores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esenciales.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87.220001pt;margin-top:812pt;width:73.8pt;height:17pt;mso-position-horizontal-relative:page;mso-position-vertical-relative:page;z-index:15731712" id="docshape11" coordorigin="9744,16240" coordsize="1476,340" path="m9744,16580l9744,16240m11220,16580l11220,16240m9744,16580l11220,16580m9744,16240l11220,16240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0" w:footer="261" w:top="1380" w:bottom="460" w:left="580" w:right="580"/>
        </w:sect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0"/>
      </w:tblGrid>
      <w:tr>
        <w:trPr>
          <w:trHeight w:val="482" w:hRule="atLeast"/>
        </w:trPr>
        <w:tc>
          <w:tcPr>
            <w:tcW w:w="10460" w:type="dxa"/>
            <w:tcBorders>
              <w:bottom w:val="single" w:sz="12" w:space="0" w:color="000000"/>
            </w:tcBorders>
            <w:shd w:val="clear" w:color="auto" w:fill="D1CCBF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VIII.-Recursos y materiales didácticos</w:t>
            </w:r>
          </w:p>
        </w:tc>
      </w:tr>
      <w:tr>
        <w:trPr>
          <w:trHeight w:val="482" w:hRule="atLeast"/>
        </w:trPr>
        <w:tc>
          <w:tcPr>
            <w:tcW w:w="10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Bibliografía</w:t>
            </w:r>
          </w:p>
        </w:tc>
      </w:tr>
      <w:tr>
        <w:trPr>
          <w:trHeight w:val="487" w:hRule="atLeast"/>
        </w:trPr>
        <w:tc>
          <w:tcPr>
            <w:tcW w:w="1046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"Software Architecture in Practice (3rd edition)", Bass, Clemens &amp;Kazman; Addison-Wesley, 2012.</w:t>
            </w:r>
          </w:p>
        </w:tc>
      </w:tr>
      <w:tr>
        <w:trPr>
          <w:trHeight w:val="482" w:hRule="atLeast"/>
        </w:trPr>
        <w:tc>
          <w:tcPr>
            <w:tcW w:w="104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"Software Architecture: Perspectives on an Emerging Discipline" Shaw &amp;Garlan, Prentice-Hall; 1996.</w:t>
            </w:r>
          </w:p>
        </w:tc>
      </w:tr>
      <w:tr>
        <w:trPr>
          <w:trHeight w:val="477" w:hRule="atLeast"/>
        </w:trPr>
        <w:tc>
          <w:tcPr>
            <w:tcW w:w="104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"Patrones de Diseño" Gamma, Helm, Johnson &amp;Vlissides; Addison-Wesley, 2002.</w:t>
            </w:r>
          </w:p>
        </w:tc>
      </w:tr>
      <w:tr>
        <w:trPr>
          <w:trHeight w:val="752" w:hRule="atLeast"/>
        </w:trPr>
        <w:tc>
          <w:tcPr>
            <w:tcW w:w="10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447"/>
              <w:rPr>
                <w:sz w:val="18"/>
              </w:rPr>
            </w:pPr>
            <w:r>
              <w:rPr>
                <w:sz w:val="18"/>
              </w:rPr>
              <w:t>"Pattern-Oriented Software Architecture Volume 1: A System of Patterns" Buschmann, Meunier, Rohnert, Sommerlad &amp;Stal;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Wiley, 1996.</w:t>
            </w:r>
          </w:p>
        </w:tc>
      </w:tr>
      <w:tr>
        <w:trPr>
          <w:trHeight w:val="1027" w:hRule="atLeast"/>
        </w:trPr>
        <w:tc>
          <w:tcPr>
            <w:tcW w:w="1046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487"/>
              <w:rPr>
                <w:sz w:val="18"/>
              </w:rPr>
            </w:pPr>
            <w:r>
              <w:rPr>
                <w:sz w:val="18"/>
              </w:rPr>
              <w:t>"Pattern-Oriented Software Architecture Volume 2: Patterns for Concurrent and Networked Objects". Schmidt, Stal, Rohnert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&amp;Buschmann, 2000.</w:t>
            </w:r>
          </w:p>
        </w:tc>
      </w:tr>
      <w:tr>
        <w:trPr>
          <w:trHeight w:val="482" w:hRule="atLeast"/>
        </w:trPr>
        <w:tc>
          <w:tcPr>
            <w:tcW w:w="104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"Software Architecture: Foundations, Theory, and Practice", Taylor, Medvidovic &amp;Dashofy; Wiley, 2009.</w:t>
            </w:r>
          </w:p>
        </w:tc>
      </w:tr>
      <w:tr>
        <w:trPr>
          <w:trHeight w:val="482" w:hRule="atLeast"/>
        </w:trPr>
        <w:tc>
          <w:tcPr>
            <w:tcW w:w="10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Designing Software Architectures: A Practical Approach, Cervantes &amp;Kazman, 2016</w:t>
            </w:r>
          </w:p>
        </w:tc>
      </w:tr>
      <w:tr>
        <w:trPr>
          <w:trHeight w:val="487" w:hRule="atLeast"/>
        </w:trPr>
        <w:tc>
          <w:tcPr>
            <w:tcW w:w="1046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Designing Software Architectures: A Practical Approach, Thomas Moran &amp;John Carol, 1996</w:t>
            </w:r>
          </w:p>
        </w:tc>
      </w:tr>
      <w:tr>
        <w:trPr>
          <w:trHeight w:val="482" w:hRule="atLeast"/>
        </w:trPr>
        <w:tc>
          <w:tcPr>
            <w:tcW w:w="104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Rationale-Based Software Engineering, Janet Burge et al, 2008</w:t>
            </w:r>
          </w:p>
        </w:tc>
      </w:tr>
      <w:tr>
        <w:trPr>
          <w:trHeight w:val="482" w:hRule="atLeast"/>
        </w:trPr>
        <w:tc>
          <w:tcPr>
            <w:tcW w:w="10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Bibliografía de consulta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487.220001pt;margin-top:812pt;width:73.8pt;height:17pt;mso-position-horizontal-relative:page;mso-position-vertical-relative:page;z-index:15732224" id="docshape12" coordorigin="9744,16240" coordsize="1476,340" path="m9744,16580l9744,16240m11220,16580l11220,16240m9744,16580l11220,16580m9744,16240l11220,16240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0"/>
        <w:gridCol w:w="5230"/>
      </w:tblGrid>
      <w:tr>
        <w:trPr>
          <w:trHeight w:val="482" w:hRule="atLeast"/>
        </w:trPr>
        <w:tc>
          <w:tcPr>
            <w:tcW w:w="10460" w:type="dxa"/>
            <w:gridSpan w:val="2"/>
            <w:tcBorders>
              <w:bottom w:val="single" w:sz="12" w:space="0" w:color="000000"/>
            </w:tcBorders>
            <w:shd w:val="clear" w:color="auto" w:fill="D1CCBF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IX.-Profesorado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Nombre y apellidos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RAFAEL CAPILLA SEVILLA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electrónico</w:t>
            </w:r>
          </w:p>
        </w:tc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hyperlink r:id="rId9">
              <w:r>
                <w:rPr>
                  <w:sz w:val="18"/>
                </w:rPr>
                <w:t>rafael.capilla@urjc.es</w:t>
              </w:r>
            </w:hyperlink>
          </w:p>
        </w:tc>
      </w:tr>
      <w:tr>
        <w:trPr>
          <w:trHeight w:val="102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247"/>
              <w:rPr>
                <w:sz w:val="18"/>
              </w:rPr>
            </w:pPr>
            <w:r>
              <w:rPr>
                <w:sz w:val="18"/>
              </w:rPr>
              <w:t>Ciencias de la Computación, Arquitectura de Computadores,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Lenguajes y Sistemas Informáticos y Estadística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Investigación Operativa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Categoría</w:t>
            </w:r>
          </w:p>
        </w:tc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Titular de Universidad</w:t>
            </w:r>
          </w:p>
        </w:tc>
      </w:tr>
      <w:tr>
        <w:trPr>
          <w:trHeight w:val="477" w:hRule="atLeast"/>
        </w:trPr>
        <w:tc>
          <w:tcPr>
            <w:tcW w:w="5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Titulación académica</w:t>
            </w:r>
          </w:p>
        </w:tc>
        <w:tc>
          <w:tcPr>
            <w:tcW w:w="5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Doctor</w:t>
            </w:r>
          </w:p>
        </w:tc>
      </w:tr>
      <w:tr>
        <w:trPr>
          <w:trHeight w:val="477" w:hRule="atLeast"/>
        </w:trPr>
        <w:tc>
          <w:tcPr>
            <w:tcW w:w="5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Asignatura</w:t>
            </w:r>
          </w:p>
        </w:tc>
        <w:tc>
          <w:tcPr>
            <w:tcW w:w="5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</w:tr>
      <w:tr>
        <w:trPr>
          <w:trHeight w:val="75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Horario de Tutorías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585"/>
              <w:rPr>
                <w:sz w:val="18"/>
              </w:rPr>
            </w:pPr>
            <w:r>
              <w:rPr>
                <w:sz w:val="18"/>
              </w:rPr>
              <w:t>Para consultar las tutorias póngase en contacto con el/la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profesor/-a a través de correo electrónico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Nº de Quinquenios</w:t>
            </w:r>
          </w:p>
        </w:tc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Nº de Sexenios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487" w:hRule="atLeast"/>
        </w:trPr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Nº de Sexenios de transferencia</w:t>
            </w:r>
          </w:p>
        </w:tc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Tramo Docentia</w:t>
            </w:r>
          </w:p>
        </w:tc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174" w:hRule="atLeast"/>
        </w:trPr>
        <w:tc>
          <w:tcPr>
            <w:tcW w:w="10460" w:type="dxa"/>
            <w:gridSpan w:val="2"/>
            <w:tcBorders>
              <w:top w:val="single" w:sz="12" w:space="0" w:color="000000"/>
            </w:tcBorders>
            <w:shd w:val="clear" w:color="auto" w:fill="DDDAD1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1900" w:h="16840"/>
          <w:pgMar w:header="0" w:footer="261" w:top="1380" w:bottom="838" w:left="580" w:right="580"/>
        </w:sect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0"/>
        <w:gridCol w:w="5230"/>
      </w:tblGrid>
      <w:tr>
        <w:trPr>
          <w:trHeight w:val="482" w:hRule="atLeast"/>
        </w:trPr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Nombre y apellidos</w:t>
            </w:r>
          </w:p>
        </w:tc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VICENTE BELINCHON GONZALEZ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electrónico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hyperlink r:id="rId10">
              <w:r>
                <w:rPr>
                  <w:sz w:val="18"/>
                </w:rPr>
                <w:t>vicente.belinchon@urjc.es</w:t>
              </w:r>
            </w:hyperlink>
          </w:p>
        </w:tc>
      </w:tr>
      <w:tr>
        <w:trPr>
          <w:trHeight w:val="1027" w:hRule="atLeast"/>
        </w:trPr>
        <w:tc>
          <w:tcPr>
            <w:tcW w:w="52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</w:t>
            </w:r>
          </w:p>
        </w:tc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247"/>
              <w:rPr>
                <w:sz w:val="18"/>
              </w:rPr>
            </w:pPr>
            <w:r>
              <w:rPr>
                <w:sz w:val="18"/>
              </w:rPr>
              <w:t>Ciencias de la Computación, Arquitectura de Computadores,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Lenguajes y Sistemas Informáticos y Estadística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Investigación Operativa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Categoría</w:t>
            </w:r>
          </w:p>
        </w:tc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Profesor/a Asociado/a</w:t>
            </w:r>
          </w:p>
        </w:tc>
      </w:tr>
      <w:tr>
        <w:trPr>
          <w:trHeight w:val="477" w:hRule="atLeast"/>
        </w:trPr>
        <w:tc>
          <w:tcPr>
            <w:tcW w:w="5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Asignatura</w:t>
            </w:r>
          </w:p>
        </w:tc>
        <w:tc>
          <w:tcPr>
            <w:tcW w:w="5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75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Horario de Tutorías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312" w:lineRule="auto"/>
              <w:ind w:right="585"/>
              <w:rPr>
                <w:sz w:val="18"/>
              </w:rPr>
            </w:pPr>
            <w:r>
              <w:rPr>
                <w:sz w:val="18"/>
              </w:rPr>
              <w:t>Para consultar las tutorias póngase en contacto con el/la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profesor/-a a través de correo electrónico</w:t>
            </w:r>
          </w:p>
        </w:tc>
      </w:tr>
      <w:tr>
        <w:trPr>
          <w:trHeight w:val="487" w:hRule="atLeast"/>
        </w:trPr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Nº de Quinquenios</w:t>
            </w:r>
          </w:p>
        </w:tc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Nº de Sexenios</w:t>
            </w:r>
          </w:p>
        </w:tc>
        <w:tc>
          <w:tcPr>
            <w:tcW w:w="52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Nº de Sexenios de transferencia</w:t>
            </w:r>
          </w:p>
        </w:tc>
        <w:tc>
          <w:tcPr>
            <w:tcW w:w="52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487" w:hRule="atLeast"/>
        </w:trPr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Tramo Docentia</w:t>
            </w:r>
          </w:p>
        </w:tc>
        <w:tc>
          <w:tcPr>
            <w:tcW w:w="5230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0460" w:type="dxa"/>
            <w:gridSpan w:val="2"/>
            <w:shd w:val="clear" w:color="auto" w:fill="DDDAD1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87.220001pt;margin-top:812pt;width:73.8pt;height:17pt;mso-position-horizontal-relative:page;mso-position-vertical-relative:page;z-index:15732736" id="docshape13" coordorigin="9744,16240" coordsize="1476,340" path="m9744,16580l9744,16240m11220,16580l11220,16240m9744,16580l11220,16580m9744,16240l11220,16240e" filled="false" stroked="true" strokeweight=".5pt" strokecolor="#000000">
            <v:path arrowok="t"/>
            <v:stroke dashstyle="solid"/>
            <w10:wrap type="none"/>
          </v:shape>
        </w:pict>
      </w:r>
    </w:p>
    <w:sectPr>
      <w:type w:val="continuous"/>
      <w:pgSz w:w="11900" w:h="16840"/>
      <w:pgMar w:header="0" w:footer="261" w:top="1380" w:bottom="46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pt;margin-top:812pt;width:527pt;height:17pt;mso-position-horizontal-relative:page;mso-position-vertical-relative:page;z-index:-16090624" id="docshape2" coordorigin="680,16240" coordsize="10540,340" path="m9744,16580l9744,16240m680,16240l9744,16240m11220,16580l11220,16240m9744,16580l11220,16580m9744,16240l11220,16240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813.947266pt;width:223.25pt;height:13.2pt;mso-position-horizontal-relative:page;mso-position-vertical-relative:page;z-index:-16090112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Vicerrectorado de Calidad, Ética y Buen Gobierno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380005pt;margin-top:813.947266pt;width:44.5pt;height:13.2pt;mso-position-horizontal-relative:page;mso-position-vertical-relative:page;z-index:-16089600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urjc.es/images/Universidad/Presentacion/normativa/Normativa_conducta_academica_URJC.pdf)" TargetMode="External"/><Relationship Id="rId7" Type="http://schemas.openxmlformats.org/officeDocument/2006/relationships/hyperlink" Target="https://www.urjc.es/codigoetico" TargetMode="External"/><Relationship Id="rId8" Type="http://schemas.openxmlformats.org/officeDocument/2006/relationships/hyperlink" Target="https://urjc.es/images/Universidad/Presentacion/normativa/Normativa_conducta_academica_URJC.pdf" TargetMode="External"/><Relationship Id="rId9" Type="http://schemas.openxmlformats.org/officeDocument/2006/relationships/hyperlink" Target="mailto:rafael.capilla@urjc.es" TargetMode="External"/><Relationship Id="rId10" Type="http://schemas.openxmlformats.org/officeDocument/2006/relationships/hyperlink" Target="mailto:vicente.belinchon@urjc.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2022-09-29T07:39:00Z</dcterms:created>
  <dcterms:modified xsi:type="dcterms:W3CDTF">2022-09-29T07:39:00Z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2022-09-29T00:00:00Z</vt:filetime>
  </property>
</Properties>
</file>