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line="393" w:lineRule="auto" w:before="89"/>
        <w:ind w:left="3340" w:right="3337" w:hanging="1"/>
        <w:jc w:val="center"/>
        <w:rPr>
          <w:b/>
          <w:sz w:val="36"/>
        </w:rPr>
      </w:pPr>
      <w:r>
        <w:rPr>
          <w:b/>
          <w:sz w:val="36"/>
        </w:rPr>
        <w:t>TEACHING GUIDE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PHYSICAL</w:t>
      </w:r>
      <w:r>
        <w:rPr>
          <w:b/>
          <w:spacing w:val="-15"/>
          <w:sz w:val="36"/>
        </w:rPr>
        <w:t> </w:t>
      </w:r>
      <w:r>
        <w:rPr>
          <w:b/>
          <w:sz w:val="36"/>
        </w:rPr>
        <w:t>EDUCATION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3"/>
        <w:rPr>
          <w:b/>
          <w:sz w:val="59"/>
        </w:rPr>
      </w:pPr>
    </w:p>
    <w:p>
      <w:pPr>
        <w:spacing w:before="1"/>
        <w:ind w:left="1530" w:right="1530" w:firstLine="0"/>
        <w:jc w:val="center"/>
        <w:rPr>
          <w:b/>
          <w:sz w:val="36"/>
        </w:rPr>
      </w:pPr>
      <w:r>
        <w:rPr>
          <w:b/>
          <w:sz w:val="36"/>
        </w:rPr>
        <w:t>GRADO EN EDUCACIÓN INFANTIL (INGLÉS)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3"/>
        <w:rPr>
          <w:b/>
          <w:sz w:val="42"/>
        </w:rPr>
      </w:pPr>
    </w:p>
    <w:p>
      <w:pPr>
        <w:spacing w:before="0"/>
        <w:ind w:left="1530" w:right="1530" w:firstLine="0"/>
        <w:jc w:val="center"/>
        <w:rPr>
          <w:b/>
          <w:sz w:val="36"/>
        </w:rPr>
      </w:pPr>
      <w:r>
        <w:rPr>
          <w:b/>
          <w:sz w:val="36"/>
        </w:rPr>
        <w:t>ACADEMIC YEAR 2022-23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line="208" w:lineRule="auto" w:before="122"/>
        <w:ind w:left="909" w:right="3457"/>
      </w:pPr>
      <w:r>
        <w:rPr/>
        <w:t>©2022 Autores Solera Alfonso, Adrián; Marconnot, Romain;</w:t>
      </w:r>
      <w:r>
        <w:rPr>
          <w:spacing w:val="-64"/>
        </w:rPr>
        <w:t> </w:t>
      </w:r>
      <w:r>
        <w:rPr/>
        <w:t>Delfa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Morena, José Manuel</w:t>
      </w:r>
    </w:p>
    <w:p>
      <w:pPr>
        <w:pStyle w:val="BodyText"/>
        <w:spacing w:line="229" w:lineRule="exact"/>
        <w:ind w:left="909"/>
      </w:pPr>
      <w:r>
        <w:rPr/>
        <w:t>Algunos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reservados</w:t>
      </w:r>
    </w:p>
    <w:p>
      <w:pPr>
        <w:pStyle w:val="BodyText"/>
        <w:spacing w:line="240" w:lineRule="exact"/>
        <w:ind w:left="909"/>
      </w:pPr>
      <w:r>
        <w:rPr/>
        <w:t>Este</w:t>
      </w:r>
      <w:r>
        <w:rPr>
          <w:spacing w:val="-5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distribuye</w:t>
      </w:r>
      <w:r>
        <w:rPr>
          <w:spacing w:val="-5"/>
        </w:rPr>
        <w:t> </w:t>
      </w:r>
      <w:r>
        <w:rPr/>
        <w:t>bajo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licencia</w:t>
      </w:r>
    </w:p>
    <w:p>
      <w:pPr>
        <w:pStyle w:val="BodyText"/>
        <w:spacing w:line="208" w:lineRule="auto" w:before="11"/>
        <w:ind w:left="909" w:right="2567"/>
      </w:pPr>
      <w:r>
        <w:rPr/>
        <w:t>“Atribución-CompartirIgual 4.0 Internacional” de Creative Commons,</w:t>
      </w:r>
      <w:r>
        <w:rPr>
          <w:spacing w:val="-65"/>
        </w:rPr>
        <w:t> </w:t>
      </w:r>
      <w:r>
        <w:rPr/>
        <w:t>disponible</w:t>
      </w:r>
      <w:r>
        <w:rPr>
          <w:spacing w:val="-2"/>
        </w:rPr>
        <w:t> </w:t>
      </w:r>
      <w:r>
        <w:rPr/>
        <w:t>en</w:t>
      </w:r>
    </w:p>
    <w:p>
      <w:pPr>
        <w:pStyle w:val="BodyText"/>
        <w:spacing w:line="247" w:lineRule="exact"/>
        <w:ind w:left="909"/>
      </w:pPr>
      <w:r>
        <w:rPr/>
        <w:t>https://creativecommons.org/licenses/by-sa/4.0/deed.es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94"/>
        <w:ind w:left="0" w:right="137" w:firstLine="0"/>
        <w:jc w:val="right"/>
        <w:rPr>
          <w:sz w:val="18"/>
        </w:rPr>
      </w:pPr>
      <w:r>
        <w:rPr>
          <w:sz w:val="18"/>
        </w:rPr>
        <w:t>Date: 08-07-2022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34pt;margin-top:11.859873pt;width:527pt;height:.5pt;mso-position-horizontal-relative:page;mso-position-vertical-relative:paragraph;z-index:-15728640;mso-wrap-distance-left:0;mso-wrap-distance-right:0" id="docshapegroup1" coordorigin="680,237" coordsize="10540,10">
            <v:line style="position:absolute" from="680,242" to="9744,242" stroked="true" strokeweight=".5pt" strokecolor="#000000">
              <v:stroke dashstyle="solid"/>
            </v:line>
            <v:line style="position:absolute" from="9744,242" to="11220,242" stroked="true" strokeweight=".5pt" strokecolor="#000000">
              <v:stroke dashstyle="solid"/>
            </v:line>
            <w10:wrap type="topAndBottom"/>
          </v:group>
        </w:pict>
      </w:r>
    </w:p>
    <w:p>
      <w:pPr>
        <w:spacing w:before="47"/>
        <w:ind w:left="140" w:right="0" w:firstLine="0"/>
        <w:jc w:val="left"/>
        <w:rPr>
          <w:sz w:val="20"/>
        </w:rPr>
      </w:pPr>
      <w:r>
        <w:rPr>
          <w:sz w:val="20"/>
        </w:rPr>
        <w:t>Vicerrectorado de Calidad, Ética y Buen Gobierno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1600" w:bottom="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2" w:hRule="atLeast"/>
        </w:trPr>
        <w:tc>
          <w:tcPr>
            <w:tcW w:w="10460" w:type="dxa"/>
            <w:gridSpan w:val="2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I.-Subject Identification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OBLIGATORIA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Teaching period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 course, 1Q semester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of credits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Language in wich the subject is taught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34pt;margin-top:812pt;width:527pt;height:17pt;mso-position-horizontal-relative:page;mso-position-vertical-relative:page;z-index:-16195072" id="docshape5" coordorigin="680,16240" coordsize="10540,340" path="m9744,16580l9744,16240m680,16240l9744,16240m11220,16580l11220,16240m9744,16580l11220,16580m9744,16240l11220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7" w:hRule="atLeast"/>
        </w:trPr>
        <w:tc>
          <w:tcPr>
            <w:tcW w:w="10460" w:type="dxa"/>
            <w:shd w:val="clear" w:color="auto" w:fill="D1CCBF"/>
          </w:tcPr>
          <w:p>
            <w:pPr>
              <w:pStyle w:val="TableParagraph"/>
              <w:spacing w:before="6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II.-Presentation</w:t>
            </w:r>
          </w:p>
        </w:tc>
      </w:tr>
      <w:tr>
        <w:trPr>
          <w:trHeight w:val="156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purpose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“Physical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Education”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future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graduates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tools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knowledge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which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assure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harmonious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physical development of pre-primary school children. Human being requires movement for activities. Therefore it is necessary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develop both physical and intellectual spheres. By studying "Physical Education", future graduates will get bases to act 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mediator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during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physical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activity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stimulate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development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potential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each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student.</w:t>
            </w:r>
          </w:p>
        </w:tc>
      </w:tr>
    </w:tbl>
    <w:p>
      <w:pPr>
        <w:pStyle w:val="BodyText"/>
        <w:spacing w:before="6" w:after="1"/>
        <w:rPr>
          <w:sz w:val="29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III.-Competences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Generic competences</w:t>
            </w:r>
          </w:p>
        </w:tc>
      </w:tr>
      <w:tr>
        <w:trPr>
          <w:trHeight w:val="264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7148"/>
              <w:rPr>
                <w:sz w:val="18"/>
              </w:rPr>
            </w:pPr>
            <w:r>
              <w:rPr>
                <w:sz w:val="18"/>
              </w:rPr>
              <w:t>CGI1. Ability to analyse and synthesise.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CGI2. Organisation and planning skills</w:t>
            </w:r>
          </w:p>
          <w:p>
            <w:pPr>
              <w:pStyle w:val="TableParagraph"/>
              <w:spacing w:line="312" w:lineRule="auto" w:before="2"/>
              <w:ind w:right="5567"/>
              <w:rPr>
                <w:sz w:val="18"/>
              </w:rPr>
            </w:pPr>
            <w:r>
              <w:rPr>
                <w:sz w:val="18"/>
              </w:rPr>
              <w:t>CGI3. Oral and written communication in the mother tongue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CGI6. Information management skills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CGP1. Teamwork</w:t>
            </w:r>
          </w:p>
          <w:p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CGP3. Interpersonal Relations Skills</w:t>
            </w:r>
          </w:p>
          <w:p>
            <w:pPr>
              <w:pStyle w:val="TableParagraph"/>
              <w:spacing w:line="312" w:lineRule="auto" w:before="63"/>
              <w:ind w:right="6228"/>
              <w:rPr>
                <w:sz w:val="18"/>
              </w:rPr>
            </w:pPr>
            <w:r>
              <w:rPr>
                <w:sz w:val="18"/>
              </w:rPr>
              <w:t>CGP4. Recognition of diversity and multiculturalism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CGP5. Critical reasoning.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CGS8. Leadership.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Specific competences</w:t>
            </w:r>
          </w:p>
        </w:tc>
      </w:tr>
      <w:tr>
        <w:trPr>
          <w:trHeight w:val="426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274"/>
              <w:rPr>
                <w:sz w:val="18"/>
              </w:rPr>
            </w:pPr>
            <w:r>
              <w:rPr>
                <w:sz w:val="18"/>
              </w:rPr>
              <w:t>CE1. Ability to understand the complexity of educational processes in general and of teaching-learning processes in particular.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CE2 Knowledge of the course contents to be taught, understanding their epistemological singularity and the specificity of their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didactics.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CE9 Ability to collaborate with different sectors of the educational community and with the environment.</w:t>
            </w:r>
          </w:p>
          <w:p>
            <w:pPr>
              <w:pStyle w:val="TableParagraph"/>
              <w:spacing w:line="312" w:lineRule="auto" w:before="63"/>
              <w:ind w:right="214"/>
              <w:rPr>
                <w:sz w:val="18"/>
              </w:rPr>
            </w:pPr>
            <w:r>
              <w:rPr>
                <w:sz w:val="18"/>
              </w:rPr>
              <w:t>CEGEI4 Design and apply and evaluate didactic actions aimed at the development of physical, cognitive, socio-affective, motor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and linguistic skills, knowing the biological, psychological, social and creative factors that determine learning. (early learning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perspective and play methodology)</w:t>
            </w:r>
          </w:p>
          <w:p>
            <w:pPr>
              <w:pStyle w:val="TableParagraph"/>
              <w:spacing w:line="312" w:lineRule="auto" w:before="2"/>
              <w:ind w:right="674"/>
              <w:rPr>
                <w:sz w:val="18"/>
              </w:rPr>
            </w:pPr>
            <w:r>
              <w:rPr>
                <w:sz w:val="18"/>
              </w:rPr>
              <w:t>CEGEI7 Design didactic actions related to understand the space and time in schoolchildren. (space-time perspective)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CEGEI11 Designing experiences to get to know the natural world through sensory perception. (Sensorial and experiential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development )</w:t>
            </w:r>
          </w:p>
          <w:p>
            <w:pPr>
              <w:pStyle w:val="TableParagraph"/>
              <w:spacing w:line="312" w:lineRule="auto" w:before="3"/>
              <w:ind w:right="193"/>
              <w:rPr>
                <w:sz w:val="18"/>
              </w:rPr>
            </w:pPr>
            <w:r>
              <w:rPr>
                <w:sz w:val="18"/>
              </w:rPr>
              <w:t>CEGEI12 Encourage and facilitate the acquisition of healthy habits in relation to hygiene, health and food. (Health and hygiene)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CEGEI14 Encourage the daily coexistence in the classroom and outside it, solve discipline problems and contribute to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peaceful resolution of conflicts. Stimulate and value the effort, perseverance and personal discipline in students.</w:t>
            </w:r>
          </w:p>
          <w:p>
            <w:pPr>
              <w:pStyle w:val="TableParagraph"/>
              <w:spacing w:line="312" w:lineRule="auto" w:before="3"/>
              <w:ind w:right="975"/>
              <w:rPr>
                <w:sz w:val="18"/>
              </w:rPr>
            </w:pPr>
            <w:r>
              <w:rPr>
                <w:sz w:val="18"/>
              </w:rPr>
              <w:t>CEGEI15 Reflect on classroom practices in order to innovate and improve teaching work. Acquire habits and skills for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autonomous and cooperative learning and promote it among students</w:t>
            </w:r>
          </w:p>
        </w:tc>
      </w:tr>
    </w:tbl>
    <w:p>
      <w:pPr>
        <w:spacing w:after="0" w:line="312" w:lineRule="auto"/>
        <w:rPr>
          <w:sz w:val="18"/>
        </w:rPr>
        <w:sectPr>
          <w:footerReference w:type="default" r:id="rId5"/>
          <w:pgSz w:w="11900" w:h="16840"/>
          <w:pgMar w:footer="261" w:header="0" w:top="1380" w:bottom="460" w:left="580" w:right="580"/>
          <w:pgNumType w:start="2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8891" w:hRule="atLeast"/>
        </w:trPr>
        <w:tc>
          <w:tcPr>
            <w:tcW w:w="10460" w:type="dxa"/>
          </w:tcPr>
          <w:p>
            <w:pPr>
              <w:pStyle w:val="TableParagraph"/>
              <w:spacing w:line="508" w:lineRule="exact" w:before="53"/>
              <w:ind w:left="200" w:right="9037"/>
              <w:rPr>
                <w:b/>
                <w:sz w:val="18"/>
              </w:rPr>
            </w:pPr>
            <w:r>
              <w:rPr>
                <w:b/>
                <w:sz w:val="18"/>
              </w:rPr>
              <w:t>IV.-Contents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IV.A.-Syllabus</w:t>
            </w:r>
          </w:p>
          <w:p>
            <w:pPr>
              <w:pStyle w:val="TableParagraph"/>
              <w:spacing w:line="312" w:lineRule="auto" w:before="136"/>
              <w:ind w:right="7315"/>
              <w:rPr>
                <w:b/>
                <w:sz w:val="18"/>
              </w:rPr>
            </w:pPr>
            <w:r>
              <w:rPr>
                <w:b/>
                <w:sz w:val="18"/>
              </w:rPr>
              <w:t>Theoretical classes contents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Thematic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physical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education</w:t>
            </w:r>
          </w:p>
          <w:p>
            <w:pPr>
              <w:pStyle w:val="TableParagraph"/>
              <w:spacing w:line="312" w:lineRule="auto" w:before="2"/>
              <w:ind w:right="484"/>
              <w:rPr>
                <w:sz w:val="18"/>
              </w:rPr>
            </w:pPr>
            <w:r>
              <w:rPr>
                <w:b/>
                <w:sz w:val="18"/>
              </w:rPr>
              <w:t>Unit 1. </w:t>
            </w:r>
            <w:r>
              <w:rPr>
                <w:sz w:val="18"/>
              </w:rPr>
              <w:t>Introduction to physical education (general concepts, body and movement, movement paradigms, taxonomies of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movement)</w:t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Thematic Unit II: physical education in the early ages of pre-primary education (3-6 years)</w:t>
            </w:r>
          </w:p>
          <w:p>
            <w:pPr>
              <w:pStyle w:val="TableParagraph"/>
              <w:spacing w:line="312" w:lineRule="auto" w:before="63"/>
              <w:ind w:right="1055"/>
              <w:rPr>
                <w:sz w:val="18"/>
              </w:rPr>
            </w:pPr>
            <w:r>
              <w:rPr>
                <w:b/>
                <w:sz w:val="18"/>
              </w:rPr>
              <w:t>Unit 2. </w:t>
            </w:r>
            <w:r>
              <w:rPr>
                <w:sz w:val="18"/>
              </w:rPr>
              <w:t>Motor development in children up to age 6 (motor behaviour, motor control, motor development and learning)</w:t>
            </w:r>
            <w:r>
              <w:rPr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Unit 3. </w:t>
            </w:r>
            <w:r>
              <w:rPr>
                <w:sz w:val="18"/>
              </w:rPr>
              <w:t>Perceptual skills (body perception, balance and laterality, spatial-temporal perception and basic motor skills)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Unit 4. </w:t>
            </w:r>
            <w:r>
              <w:rPr>
                <w:sz w:val="18"/>
              </w:rPr>
              <w:t>Adapted physical education (sensory, motor impairment and cognitive impairments)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b/>
                <w:sz w:val="18"/>
              </w:rPr>
              <w:t>Unit 5. </w:t>
            </w:r>
            <w:r>
              <w:rPr>
                <w:sz w:val="18"/>
              </w:rPr>
              <w:t>Teaching values (respect, responsability...)</w:t>
            </w:r>
          </w:p>
          <w:p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sz w:val="18"/>
              </w:rPr>
              <w:t>Thematic Unit III: the teaching-learning process in physical education in pre-primary education.</w:t>
            </w:r>
          </w:p>
          <w:p>
            <w:pPr>
              <w:pStyle w:val="TableParagraph"/>
              <w:spacing w:before="63"/>
              <w:rPr>
                <w:sz w:val="18"/>
              </w:rPr>
            </w:pPr>
            <w:r>
              <w:rPr>
                <w:b/>
                <w:sz w:val="18"/>
              </w:rPr>
              <w:t>Unit 6. </w:t>
            </w:r>
            <w:r>
              <w:rPr>
                <w:sz w:val="18"/>
              </w:rPr>
              <w:t>Play as a child physical activity (social, pedagogical and scientific bases. History, characteristics, classifications)</w:t>
            </w:r>
          </w:p>
          <w:p>
            <w:pPr>
              <w:pStyle w:val="TableParagraph"/>
              <w:spacing w:before="63"/>
              <w:rPr>
                <w:sz w:val="18"/>
              </w:rPr>
            </w:pPr>
            <w:r>
              <w:rPr>
                <w:b/>
                <w:sz w:val="18"/>
              </w:rPr>
              <w:t>Unit 7. </w:t>
            </w:r>
            <w:r>
              <w:rPr>
                <w:sz w:val="18"/>
              </w:rPr>
              <w:t>Objectives and contents (utility, types)</w:t>
            </w:r>
          </w:p>
          <w:p>
            <w:pPr>
              <w:pStyle w:val="TableParagraph"/>
              <w:spacing w:before="63"/>
              <w:rPr>
                <w:sz w:val="18"/>
              </w:rPr>
            </w:pPr>
            <w:r>
              <w:rPr>
                <w:b/>
                <w:sz w:val="18"/>
              </w:rPr>
              <w:t>Unit 8. </w:t>
            </w:r>
            <w:r>
              <w:rPr>
                <w:sz w:val="18"/>
              </w:rPr>
              <w:t>Methodology (clarification of concepts, teaching styles, educational interactions)</w:t>
            </w:r>
          </w:p>
          <w:p>
            <w:pPr>
              <w:pStyle w:val="TableParagraph"/>
              <w:spacing w:before="63"/>
              <w:rPr>
                <w:sz w:val="18"/>
              </w:rPr>
            </w:pPr>
            <w:r>
              <w:rPr>
                <w:b/>
                <w:sz w:val="18"/>
              </w:rPr>
              <w:t>Unit 9. </w:t>
            </w:r>
            <w:r>
              <w:rPr>
                <w:sz w:val="18"/>
              </w:rPr>
              <w:t>Evaluation (types of evaluation, criteria and standard)</w:t>
            </w:r>
          </w:p>
          <w:p>
            <w:pPr>
              <w:pStyle w:val="TableParagraph"/>
              <w:spacing w:before="63"/>
              <w:rPr>
                <w:sz w:val="18"/>
              </w:rPr>
            </w:pPr>
            <w:r>
              <w:rPr>
                <w:b/>
                <w:sz w:val="18"/>
              </w:rPr>
              <w:t>Unit 10. </w:t>
            </w:r>
            <w:r>
              <w:rPr>
                <w:sz w:val="18"/>
              </w:rPr>
              <w:t>Planning and programming (need for planning, basic criteria programming, structure of a session)</w:t>
            </w:r>
          </w:p>
          <w:p>
            <w:pPr>
              <w:pStyle w:val="TableParagraph"/>
              <w:spacing w:before="11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Practical classes contents</w:t>
            </w:r>
          </w:p>
          <w:p>
            <w:pPr>
              <w:pStyle w:val="TableParagraph"/>
              <w:spacing w:line="312" w:lineRule="auto" w:before="63"/>
              <w:ind w:right="144"/>
              <w:rPr>
                <w:sz w:val="18"/>
              </w:rPr>
            </w:pPr>
            <w:r>
              <w:rPr>
                <w:b/>
                <w:sz w:val="18"/>
              </w:rPr>
              <w:t>Thematic unit I: </w:t>
            </w:r>
            <w:r>
              <w:rPr>
                <w:sz w:val="18"/>
              </w:rPr>
              <w:t>Body perception (body parts location, posture and correct habits, breathing mechanism, tension-relaxation and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sensory discrimiation)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b/>
                <w:sz w:val="18"/>
              </w:rPr>
              <w:t>Thematic unit II: </w:t>
            </w:r>
            <w:r>
              <w:rPr>
                <w:sz w:val="18"/>
              </w:rPr>
              <w:t>Balance and laterality (dynamic and static balance, hand and foot laterality)</w:t>
            </w:r>
          </w:p>
          <w:p>
            <w:pPr>
              <w:pStyle w:val="TableParagraph"/>
              <w:spacing w:line="312" w:lineRule="auto" w:before="63"/>
              <w:ind w:right="455"/>
              <w:rPr>
                <w:sz w:val="18"/>
              </w:rPr>
            </w:pPr>
            <w:r>
              <w:rPr>
                <w:b/>
                <w:sz w:val="18"/>
              </w:rPr>
              <w:t>Thematic unit III: </w:t>
            </w:r>
            <w:r>
              <w:rPr>
                <w:sz w:val="18"/>
              </w:rPr>
              <w:t>Spatial-temporal perception (spacial situation, orientation, organization and sequencing. Distances, sizes,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shapes and paths. Duration and speed. Rythm and rhythmic structures. Body expression)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b/>
                <w:sz w:val="18"/>
              </w:rPr>
              <w:t>Thematic unit IV: </w:t>
            </w:r>
            <w:r>
              <w:rPr>
                <w:sz w:val="18"/>
              </w:rPr>
              <w:t>Basic motor skills (displacements, spins, jumps, launches and receptions)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Seminars Contents</w:t>
            </w:r>
          </w:p>
          <w:p>
            <w:pPr>
              <w:pStyle w:val="TableParagraph"/>
              <w:spacing w:line="312" w:lineRule="auto" w:before="63"/>
              <w:ind w:right="4439" w:firstLine="50"/>
              <w:rPr>
                <w:sz w:val="18"/>
              </w:rPr>
            </w:pPr>
            <w:r>
              <w:rPr>
                <w:sz w:val="18"/>
              </w:rPr>
              <w:t>"Adapted physical education" (sensory, motor and cognitive impairments)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"Teaching values" (respect, responsability...)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40.5pt;margin-top:74.5pt;width:514pt;height:51.75pt;mso-position-horizontal-relative:page;mso-position-vertical-relative:page;z-index:-16194560" id="docshapegroup6" coordorigin="810,1490" coordsize="10280,1035">
            <v:rect style="position:absolute;left:820;top:1500;width:10260;height:508" id="docshape7" filled="true" fillcolor="#d1ccbf" stroked="false">
              <v:fill type="solid"/>
            </v:rect>
            <v:shape style="position:absolute;left:820;top:1500;width:10260;height:1015" id="docshape8" coordorigin="820,1500" coordsize="10260,1015" path="m820,2007l11080,2007,11080,1500,820,1500,820,2007xm820,2515l11080,2515,11080,2007,820,2007,820,2515xe" filled="false" stroked="true" strokeweight="1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2" w:hRule="atLeast"/>
        </w:trPr>
        <w:tc>
          <w:tcPr>
            <w:tcW w:w="1046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IV.B.-Training activities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</w:p>
        </w:tc>
      </w:tr>
      <w:tr>
        <w:trPr>
          <w:trHeight w:val="1297" w:hRule="atLeast"/>
        </w:trPr>
        <w:tc>
          <w:tcPr>
            <w:tcW w:w="523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36"/>
              <w:rPr>
                <w:sz w:val="18"/>
              </w:rPr>
            </w:pPr>
            <w:r>
              <w:rPr>
                <w:sz w:val="18"/>
              </w:rPr>
              <w:t>Practical / Problem solving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177"/>
              <w:rPr>
                <w:sz w:val="18"/>
              </w:rPr>
            </w:pPr>
            <w:r>
              <w:rPr>
                <w:sz w:val="18"/>
              </w:rPr>
              <w:t>Skills and abilities development through practical clasees with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the 4 blocks of practical contents. First part of classes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teacher will perform the practice while in the second part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practice will be performed by students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Theoretical knowledge acquisition</w:t>
            </w:r>
          </w:p>
        </w:tc>
      </w:tr>
      <w:tr>
        <w:trPr>
          <w:trHeight w:val="47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Others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Academic tutorials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Seminars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00" w:h="16840"/>
          <w:pgMar w:header="0" w:footer="261" w:top="1380" w:bottom="52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7"/>
        <w:gridCol w:w="1744"/>
        <w:gridCol w:w="1744"/>
        <w:gridCol w:w="3487"/>
      </w:tblGrid>
      <w:tr>
        <w:trPr>
          <w:trHeight w:val="482" w:hRule="atLeast"/>
        </w:trPr>
        <w:tc>
          <w:tcPr>
            <w:tcW w:w="10462" w:type="dxa"/>
            <w:gridSpan w:val="4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V.-Student worload</w:t>
            </w:r>
          </w:p>
        </w:tc>
      </w:tr>
      <w:tr>
        <w:trPr>
          <w:trHeight w:val="482" w:hRule="atLeast"/>
        </w:trPr>
        <w:tc>
          <w:tcPr>
            <w:tcW w:w="52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Lecture classes</w:t>
            </w:r>
          </w:p>
        </w:tc>
        <w:tc>
          <w:tcPr>
            <w:tcW w:w="52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>
        <w:trPr>
          <w:trHeight w:val="487" w:hRule="atLeast"/>
        </w:trPr>
        <w:tc>
          <w:tcPr>
            <w:tcW w:w="5231" w:type="dxa"/>
            <w:gridSpan w:val="2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Pratical classes/problem-solving, case studies, etc.</w:t>
            </w:r>
          </w:p>
        </w:tc>
        <w:tc>
          <w:tcPr>
            <w:tcW w:w="5231" w:type="dxa"/>
            <w:gridSpan w:val="2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>
        <w:trPr>
          <w:trHeight w:val="482" w:hRule="atLeast"/>
        </w:trPr>
        <w:tc>
          <w:tcPr>
            <w:tcW w:w="523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Practical sessions in technological laboratories, hospitals, etc.</w:t>
            </w:r>
          </w:p>
        </w:tc>
        <w:tc>
          <w:tcPr>
            <w:tcW w:w="523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523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Tests</w:t>
            </w:r>
          </w:p>
        </w:tc>
        <w:tc>
          <w:tcPr>
            <w:tcW w:w="523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482" w:hRule="atLeast"/>
        </w:trPr>
        <w:tc>
          <w:tcPr>
            <w:tcW w:w="52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Academic tutorials</w:t>
            </w:r>
          </w:p>
        </w:tc>
        <w:tc>
          <w:tcPr>
            <w:tcW w:w="52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>
        <w:trPr>
          <w:trHeight w:val="487" w:hRule="atLeast"/>
        </w:trPr>
        <w:tc>
          <w:tcPr>
            <w:tcW w:w="5231" w:type="dxa"/>
            <w:gridSpan w:val="2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Related activities: conferences, seminars, etc.</w:t>
            </w:r>
          </w:p>
        </w:tc>
        <w:tc>
          <w:tcPr>
            <w:tcW w:w="5231" w:type="dxa"/>
            <w:gridSpan w:val="2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>
        <w:trPr>
          <w:trHeight w:val="482" w:hRule="atLeast"/>
        </w:trPr>
        <w:tc>
          <w:tcPr>
            <w:tcW w:w="523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Preparation of lecture classes</w:t>
            </w:r>
          </w:p>
        </w:tc>
        <w:tc>
          <w:tcPr>
            <w:tcW w:w="523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>
        <w:trPr>
          <w:trHeight w:val="752" w:hRule="atLeast"/>
        </w:trPr>
        <w:tc>
          <w:tcPr>
            <w:tcW w:w="52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739"/>
              <w:rPr>
                <w:sz w:val="18"/>
              </w:rPr>
            </w:pPr>
            <w:r>
              <w:rPr>
                <w:sz w:val="18"/>
              </w:rPr>
              <w:t>Preparation of practical classes, problem-solving, case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studies,etc.</w:t>
            </w:r>
          </w:p>
        </w:tc>
        <w:tc>
          <w:tcPr>
            <w:tcW w:w="52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>
        <w:trPr>
          <w:trHeight w:val="487" w:hRule="atLeast"/>
        </w:trPr>
        <w:tc>
          <w:tcPr>
            <w:tcW w:w="5231" w:type="dxa"/>
            <w:gridSpan w:val="2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Test preparation</w:t>
            </w:r>
          </w:p>
        </w:tc>
        <w:tc>
          <w:tcPr>
            <w:tcW w:w="5231" w:type="dxa"/>
            <w:gridSpan w:val="2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482" w:hRule="atLeast"/>
        </w:trPr>
        <w:tc>
          <w:tcPr>
            <w:tcW w:w="523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Total student workload</w:t>
            </w:r>
          </w:p>
        </w:tc>
        <w:tc>
          <w:tcPr>
            <w:tcW w:w="523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>
        <w:trPr>
          <w:trHeight w:val="482" w:hRule="atLeast"/>
        </w:trPr>
        <w:tc>
          <w:tcPr>
            <w:tcW w:w="10462" w:type="dxa"/>
            <w:gridSpan w:val="4"/>
            <w:tcBorders>
              <w:top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1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VI.-Methodology and academic programme</w:t>
            </w:r>
          </w:p>
        </w:tc>
      </w:tr>
      <w:tr>
        <w:trPr>
          <w:trHeight w:val="482" w:hRule="atLeast"/>
        </w:trPr>
        <w:tc>
          <w:tcPr>
            <w:tcW w:w="34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</w:p>
        </w:tc>
        <w:tc>
          <w:tcPr>
            <w:tcW w:w="348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</w:tc>
        <w:tc>
          <w:tcPr>
            <w:tcW w:w="348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Content</w:t>
            </w:r>
          </w:p>
        </w:tc>
      </w:tr>
      <w:tr>
        <w:trPr>
          <w:trHeight w:val="1832" w:hRule="atLeast"/>
        </w:trPr>
        <w:tc>
          <w:tcPr>
            <w:tcW w:w="3487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Theory classes</w:t>
            </w:r>
          </w:p>
        </w:tc>
        <w:tc>
          <w:tcPr>
            <w:tcW w:w="348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71"/>
              <w:ind w:left="99"/>
              <w:rPr>
                <w:sz w:val="18"/>
              </w:rPr>
            </w:pPr>
            <w:r>
              <w:rPr>
                <w:sz w:val="18"/>
              </w:rPr>
              <w:t>Week 1 to Week 15</w:t>
            </w:r>
          </w:p>
        </w:tc>
        <w:tc>
          <w:tcPr>
            <w:tcW w:w="348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93" w:right="104"/>
              <w:rPr>
                <w:sz w:val="18"/>
              </w:rPr>
            </w:pPr>
            <w:r>
              <w:rPr>
                <w:sz w:val="18"/>
              </w:rPr>
              <w:t>Development of theoretical classes face-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to-face The teacher may ask questions,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solve doubts, cause a individual or group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discussion group activities, where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students may be required to expose their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conclusions.</w:t>
            </w:r>
          </w:p>
        </w:tc>
      </w:tr>
      <w:tr>
        <w:trPr>
          <w:trHeight w:val="752" w:hRule="atLeast"/>
        </w:trPr>
        <w:tc>
          <w:tcPr>
            <w:tcW w:w="34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Academic Tutorials</w:t>
            </w:r>
          </w:p>
        </w:tc>
        <w:tc>
          <w:tcPr>
            <w:tcW w:w="348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Week 1 to Week 15</w:t>
            </w:r>
          </w:p>
        </w:tc>
        <w:tc>
          <w:tcPr>
            <w:tcW w:w="348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93" w:right="407"/>
              <w:rPr>
                <w:sz w:val="18"/>
              </w:rPr>
            </w:pPr>
            <w:r>
              <w:rPr>
                <w:sz w:val="18"/>
              </w:rPr>
              <w:t>The tutorials will be made on request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through e-mail.</w:t>
            </w:r>
          </w:p>
        </w:tc>
      </w:tr>
      <w:tr>
        <w:trPr>
          <w:trHeight w:val="482" w:hRule="atLeast"/>
        </w:trPr>
        <w:tc>
          <w:tcPr>
            <w:tcW w:w="34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activities</w:t>
            </w:r>
          </w:p>
        </w:tc>
        <w:tc>
          <w:tcPr>
            <w:tcW w:w="348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Week 1 to Week 15</w:t>
            </w:r>
          </w:p>
        </w:tc>
        <w:tc>
          <w:tcPr>
            <w:tcW w:w="348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Development of workshops.</w:t>
            </w:r>
          </w:p>
        </w:tc>
      </w:tr>
      <w:tr>
        <w:trPr>
          <w:trHeight w:val="752" w:hRule="atLeast"/>
        </w:trPr>
        <w:tc>
          <w:tcPr>
            <w:tcW w:w="34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Seminars</w:t>
            </w:r>
          </w:p>
        </w:tc>
        <w:tc>
          <w:tcPr>
            <w:tcW w:w="348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Week 1 to Week 15</w:t>
            </w:r>
          </w:p>
        </w:tc>
        <w:tc>
          <w:tcPr>
            <w:tcW w:w="348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93" w:right="497"/>
              <w:rPr>
                <w:sz w:val="18"/>
              </w:rPr>
            </w:pPr>
            <w:r>
              <w:rPr>
                <w:sz w:val="18"/>
              </w:rPr>
              <w:t>Students must attend a face-to-face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seminars during the school period.</w:t>
            </w:r>
          </w:p>
        </w:tc>
      </w:tr>
      <w:tr>
        <w:trPr>
          <w:trHeight w:val="1562" w:hRule="atLeast"/>
        </w:trPr>
        <w:tc>
          <w:tcPr>
            <w:tcW w:w="3487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Work placements</w:t>
            </w:r>
          </w:p>
        </w:tc>
        <w:tc>
          <w:tcPr>
            <w:tcW w:w="348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Week 1 to Week 15</w:t>
            </w:r>
          </w:p>
        </w:tc>
        <w:tc>
          <w:tcPr>
            <w:tcW w:w="348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93" w:right="265"/>
              <w:rPr>
                <w:sz w:val="18"/>
              </w:rPr>
            </w:pPr>
            <w:r>
              <w:rPr>
                <w:sz w:val="18"/>
              </w:rPr>
              <w:t>Development of practical classes face-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to-face, where from week 1 to week 8,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will be carried out by the teacher,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from week 9 to week 15, will be carried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out by the students.essential.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7.220001pt;margin-top:812pt;width:73.8pt;height:17pt;mso-position-horizontal-relative:page;mso-position-vertical-relative:page;z-index:15730176" id="docshape9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header="0" w:footer="261" w:top="1380" w:bottom="460" w:left="580" w:right="580"/>
        </w:sectPr>
      </w:pPr>
    </w:p>
    <w:p>
      <w:pPr>
        <w:pStyle w:val="BodyText"/>
        <w:rPr>
          <w:sz w:val="13"/>
        </w:rPr>
      </w:pPr>
      <w:r>
        <w:rPr/>
        <w:pict>
          <v:shape style="position:absolute;margin-left:487.220001pt;margin-top:812pt;width:73.8pt;height:17pt;mso-position-horizontal-relative:page;mso-position-vertical-relative:page;z-index:15730688" id="docshape10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VII.-Assessment methods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VII.A.-Assessment weighting</w:t>
            </w:r>
          </w:p>
        </w:tc>
      </w:tr>
      <w:tr>
        <w:trPr>
          <w:trHeight w:val="372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Continuous ordinary assessment:</w:t>
            </w:r>
          </w:p>
          <w:p>
            <w:pPr>
              <w:pStyle w:val="TableParagraph"/>
              <w:spacing w:line="312" w:lineRule="auto" w:before="63"/>
              <w:ind w:right="74"/>
              <w:jc w:val="both"/>
              <w:rPr>
                <w:sz w:val="18"/>
              </w:rPr>
            </w:pPr>
            <w:r>
              <w:rPr>
                <w:sz w:val="18"/>
              </w:rPr>
              <w:t>The distribution and characteristics of the assessment tests are those described below. Only in exceptional case and for special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reasons may the teacher add changes to the Guide. These changes will require the prior consultation with the Subject Head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prior and explicit authorisation of the Degree Programme Coordinator, who will notify the Vice-Rector?s office in charge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Academic Affairs of the modifications made. In any case, the changes proposed must take into account the stipulations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verified report. In order for these changes to take effect, they must be duly communicated at the start of the course to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Aula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Virtual.</w:t>
            </w:r>
          </w:p>
          <w:p>
            <w:pPr>
              <w:pStyle w:val="TableParagraph"/>
              <w:spacing w:line="312" w:lineRule="auto" w:before="5"/>
              <w:ind w:right="76"/>
              <w:jc w:val="both"/>
              <w:rPr>
                <w:sz w:val="18"/>
              </w:rPr>
            </w:pPr>
            <w:r>
              <w:rPr>
                <w:sz w:val="18"/>
              </w:rPr>
              <w:t>The combination of activities that are not re-assessable cannot exceed 50% of the subject grade and, in general, cannot have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minimum grade (except for the case of laboratory or clinical work placements, where duly justified), and tests which exceed 60%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subject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weighting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cannot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added.</w:t>
            </w:r>
          </w:p>
          <w:p>
            <w:pPr>
              <w:pStyle w:val="TableParagraph"/>
              <w:spacing w:line="312" w:lineRule="auto" w:before="3"/>
              <w:ind w:right="7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Extraordinary assessment: </w:t>
            </w:r>
            <w:r>
              <w:rPr>
                <w:sz w:val="18"/>
              </w:rPr>
              <w:t>Students who do not manage to pass the ordinary assessment, or who did not attend, will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subject to completion of an extraordinary assessment to verify their acquisition of the skills established in the guide, only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activities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re-assessable.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of the tests for assessment and their weights.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0" w:footer="261" w:top="1600" w:bottom="46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1317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VII.A.-Weighting for the evaluation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Continuous ordinary evaluation:</w:t>
            </w:r>
          </w:p>
          <w:p>
            <w:pPr>
              <w:pStyle w:val="TableParagraph"/>
              <w:spacing w:line="320" w:lineRule="atLeast"/>
              <w:ind w:right="354"/>
              <w:rPr>
                <w:sz w:val="18"/>
              </w:rPr>
            </w:pPr>
            <w:r>
              <w:rPr>
                <w:sz w:val="18"/>
              </w:rPr>
              <w:t>The distribution and characteristics of the evaluation tests are described below. Only in cases exceptional and especially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motivated, the teacher may incorporate adaptations in the Guide. Such changes will require after consulting the Head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Subject, the prior and express authorization of the Degree Coordinator, who will notify the Vice-rectorate with competences in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matters of Academic Planning the modification made. In any case, the Proposed modifications must comply with what 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established in the verified report. For such changes to be effective, they must be duly communicated to the students at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beginning of the course through the Virtual Classroom.</w:t>
            </w:r>
          </w:p>
          <w:p>
            <w:pPr>
              <w:pStyle w:val="TableParagraph"/>
              <w:spacing w:line="312" w:lineRule="auto" w:before="63"/>
              <w:ind w:right="74"/>
              <w:jc w:val="both"/>
              <w:rPr>
                <w:sz w:val="18"/>
              </w:rPr>
            </w:pPr>
            <w:r>
              <w:rPr>
                <w:sz w:val="18"/>
              </w:rPr>
              <w:t>The sum of non-revaluable activities may not exceed 50% of the course grade and, in general, may not have minimum mark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(except in the case of laboratory practices or clinical practices, when duly justified), avoiding incorporating tests that exceed 60%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weighting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subject.</w:t>
            </w: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spacing w:line="320" w:lineRule="atLeast"/>
              <w:ind w:right="11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Extraordinary evaluation: </w:t>
            </w:r>
            <w:r>
              <w:rPr>
                <w:sz w:val="18"/>
              </w:rPr>
              <w:t>Students who do not manage to pass the ordinary evaluation, or have not presented themselves, will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be object of carrying out an extraordinary evaluation to verify the acquisition of the competences established in the guide, only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 revaluable evaluation activities.</w:t>
            </w:r>
          </w:p>
          <w:p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sz w:val="18"/>
              </w:rPr>
              <w:t>EVALUABLE ACTIVITIES: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5" w:val="left" w:leader="none"/>
              </w:tabs>
              <w:spacing w:line="312" w:lineRule="auto" w:before="63" w:after="0"/>
              <w:ind w:left="100" w:right="73" w:firstLine="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Theoretical exam (final written test): 40% of the final grade (reassessable): </w:t>
            </w:r>
            <w:r>
              <w:rPr>
                <w:sz w:val="18"/>
              </w:rPr>
              <w:t>It will consist of an exam with a series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questions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multiple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choice,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short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questions,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true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false,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develop,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etc...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test,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verified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student has acquired the skills and abilities necessary to assimilate the contents of the subject. All the theoretical-practical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content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subject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likely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evaluated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test.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3" w:val="left" w:leader="none"/>
              </w:tabs>
              <w:spacing w:line="312" w:lineRule="auto" w:before="4" w:after="0"/>
              <w:ind w:left="100" w:right="76" w:firstLine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Practical activity (individual exhibition): 40% of the final grade (not re-assessable with a minimum score): </w:t>
            </w:r>
            <w:r>
              <w:rPr>
                <w:sz w:val="18"/>
              </w:rPr>
              <w:t>It will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during the period of face-to-face classes and its completion is mandatory. The student will pretend to be a teacher and present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activity in front of their classmates who will pretend to be primary school students. In this test it will be verified that the student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acquired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skills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abilities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necessary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perform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role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teacher.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7" w:val="left" w:leader="none"/>
              </w:tabs>
              <w:spacing w:line="312" w:lineRule="auto" w:before="4" w:after="0"/>
              <w:ind w:left="100" w:right="76" w:firstLine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Sessions (group work): 20% of the final grade (reassessable): </w:t>
            </w:r>
            <w:r>
              <w:rPr>
                <w:sz w:val="18"/>
              </w:rPr>
              <w:t>Each subgroup must prepare a session for each practical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content block (4 sessions in total). In these works it will be verified that the students have acquired the competencies and skills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necessary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develop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activities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which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influence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integral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development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child.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42"/>
              <w:rPr>
                <w:b/>
                <w:sz w:val="18"/>
              </w:rPr>
            </w:pPr>
            <w:r>
              <w:rPr>
                <w:b/>
                <w:sz w:val="18"/>
              </w:rPr>
              <w:t>CALLS:</w:t>
            </w:r>
          </w:p>
          <w:p>
            <w:pPr>
              <w:pStyle w:val="TableParagraph"/>
              <w:spacing w:line="372" w:lineRule="auto" w:before="113"/>
              <w:ind w:right="86"/>
              <w:rPr>
                <w:b/>
                <w:sz w:val="18"/>
              </w:rPr>
            </w:pPr>
            <w:r>
              <w:rPr>
                <w:sz w:val="18"/>
              </w:rPr>
              <w:t>The student will have the right to two calls per course to pass the subject, the first being the call ordinary. In case of not passing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subject in ordinary call, he will have the right to pass the subject in call extraordinary. </w:t>
            </w:r>
            <w:r>
              <w:rPr>
                <w:b/>
                <w:sz w:val="18"/>
              </w:rPr>
              <w:t>IN BOTH CASES, YOU MUST CARRY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OUT THE PRACTICAL ACTIVITY DURING THE CLASSES</w:t>
            </w:r>
          </w:p>
          <w:p>
            <w:pPr>
              <w:pStyle w:val="TableParagraph"/>
              <w:spacing w:line="205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PRESENTIAL or, otherwise, you will not be able to pass the subject.</w:t>
            </w:r>
          </w:p>
          <w:p>
            <w:pPr>
              <w:pStyle w:val="TableParagraph"/>
              <w:spacing w:before="113"/>
              <w:rPr>
                <w:sz w:val="18"/>
              </w:rPr>
            </w:pPr>
            <w:r>
              <w:rPr>
                <w:sz w:val="18"/>
              </w:rPr>
              <w:t>To pass the course, the student must:</w:t>
            </w:r>
          </w:p>
          <w:p>
            <w:pPr>
              <w:pStyle w:val="TableParagraph"/>
              <w:spacing w:before="113"/>
              <w:rPr>
                <w:b/>
                <w:sz w:val="18"/>
              </w:rPr>
            </w:pPr>
            <w:r>
              <w:rPr>
                <w:b/>
                <w:sz w:val="18"/>
              </w:rPr>
              <w:t>•Carry out the practical activity during the face-to-face classes.</w:t>
            </w:r>
          </w:p>
          <w:p>
            <w:pPr>
              <w:pStyle w:val="TableParagraph"/>
              <w:spacing w:before="113"/>
              <w:rPr>
                <w:b/>
                <w:sz w:val="18"/>
              </w:rPr>
            </w:pPr>
            <w:r>
              <w:rPr>
                <w:b/>
                <w:sz w:val="18"/>
              </w:rPr>
              <w:t>•Obtain at least 50% of the score in each of the three assessable activities.</w:t>
            </w:r>
          </w:p>
          <w:p>
            <w:pPr>
              <w:pStyle w:val="TableParagraph"/>
              <w:spacing w:line="372" w:lineRule="auto" w:before="114"/>
              <w:ind w:right="393"/>
              <w:rPr>
                <w:b/>
                <w:sz w:val="18"/>
              </w:rPr>
            </w:pPr>
            <w:r>
              <w:rPr>
                <w:b/>
                <w:sz w:val="18"/>
              </w:rPr>
              <w:t>•In case there are several parts to the theoretical exam, obtain at least 40% of the score in each part of the exam and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add 50% of the total note of the written exam.</w:t>
            </w: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320" w:lineRule="atLeast"/>
              <w:ind w:right="454"/>
              <w:rPr>
                <w:sz w:val="18"/>
              </w:rPr>
            </w:pPr>
            <w:r>
              <w:rPr>
                <w:sz w:val="18"/>
              </w:rPr>
              <w:t>The teaching staff reserves the right to be able to assess the attitude, involvement and motivation of the student towards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subject, being able to get up to 1 extra point. This assessment will always be positive; in no case can you lower the score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obtained. Likewise, the teaching staff is not obliged to exercise said assessment.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VII.B. Assessment of students with an academic exemption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7.220001pt;margin-top:812pt;width:73.8pt;height:17pt;mso-position-horizontal-relative:page;mso-position-vertical-relative:page;z-index:15731200" id="docshape11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header="0" w:footer="261" w:top="1380" w:bottom="46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166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74"/>
              <w:jc w:val="both"/>
              <w:rPr>
                <w:sz w:val="18"/>
              </w:rPr>
            </w:pPr>
            <w:r>
              <w:rPr>
                <w:sz w:val="18"/>
              </w:rPr>
              <w:t>Student who wish to opt for this assessment will have to get an academic exemption for the subject, which they will have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request from the Dean or Director of the Centre which teaches their course. An academic exemption may be granted where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subjects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own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characteristics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allow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it.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43"/>
              <w:jc w:val="both"/>
              <w:rPr>
                <w:sz w:val="18"/>
              </w:rPr>
            </w:pPr>
            <w:r>
              <w:rPr>
                <w:sz w:val="18"/>
              </w:rPr>
              <w:t>Subject with the possibility of an exemption: Yes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VII.C. Review of assessment tests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 accordance with the exam appeal regulations of the Universidad Rey Juan Carlos.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VII.D.-Students with a disability or special educational needs</w:t>
            </w:r>
          </w:p>
        </w:tc>
      </w:tr>
      <w:tr>
        <w:trPr>
          <w:trHeight w:val="2102" w:hRule="atLeast"/>
        </w:trPr>
        <w:tc>
          <w:tcPr>
            <w:tcW w:w="10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73"/>
              <w:jc w:val="both"/>
              <w:rPr>
                <w:sz w:val="18"/>
              </w:rPr>
            </w:pPr>
            <w:r>
              <w:rPr>
                <w:sz w:val="18"/>
              </w:rPr>
              <w:t>Curricular adaptations for students with a disability or special educational needs will be determined by the Disabled Students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Support Department, in accordance with the regulations governing the Disabled Students Support service, approved by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Universidad Rey Juan Carlos Council, in order to guarantee equal opportunities, inclusive treatment, universal accessibility and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greater guarantee of academic success.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312" w:lineRule="auto"/>
              <w:ind w:right="75"/>
              <w:jc w:val="both"/>
              <w:rPr>
                <w:sz w:val="18"/>
              </w:rPr>
            </w:pPr>
            <w:r>
              <w:rPr>
                <w:sz w:val="18"/>
              </w:rPr>
              <w:t>For this purpose, this Department will have to issue a curricular adaptation report, therefore students with disabilities or special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educational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needs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Department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analyse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different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alternatives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together.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VII.E.-Academic behaviour, academic integrity and honesty</w:t>
            </w:r>
          </w:p>
        </w:tc>
      </w:tr>
      <w:tr>
        <w:trPr>
          <w:trHeight w:val="156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215"/>
              <w:rPr>
                <w:sz w:val="18"/>
              </w:rPr>
            </w:pPr>
            <w:r>
              <w:rPr>
                <w:sz w:val="18"/>
              </w:rPr>
              <w:t>The Universidad Rey Juan Carlos is completely committed to the highest standards of academic integrity and honesty.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Therefore, studying at the URJC means you accept and agree to the academic integrity and honesty values described in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University's Code of Ethics. In order to monitor this procedure, the University has Regulations on academic behaviour at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Universidad Rey Juan Carlos and uses different tools (anti-plagiarism, supervision?) which provides a collective assurance that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these essential values are completely developed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192512" from="41pt,150.5pt" to="215.08pt,150.5pt" stroked="true" strokeweight=".6pt" strokecolor="#000000">
            <v:stroke dashstyle="solid"/>
            <w10:wrap type="none"/>
          </v:line>
        </w:pict>
      </w:r>
      <w:r>
        <w:rPr/>
        <w:pict>
          <v:shape style="position:absolute;margin-left:487.220001pt;margin-top:812pt;width:73.8pt;height:17pt;mso-position-horizontal-relative:page;mso-position-vertical-relative:page;z-index:15732224" id="docshape12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261" w:top="1380" w:bottom="460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0"/>
      </w:tblGrid>
      <w:tr>
        <w:trPr>
          <w:trHeight w:val="482" w:hRule="atLeast"/>
        </w:trPr>
        <w:tc>
          <w:tcPr>
            <w:tcW w:w="10460" w:type="dxa"/>
            <w:tcBorders>
              <w:bottom w:val="single" w:sz="12" w:space="0" w:color="000000"/>
            </w:tcBorders>
            <w:shd w:val="clear" w:color="auto" w:fill="D1CCBF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VII.-Bibliography</w:t>
            </w:r>
          </w:p>
        </w:tc>
      </w:tr>
      <w:tr>
        <w:trPr>
          <w:trHeight w:val="482" w:hRule="atLeast"/>
        </w:trPr>
        <w:tc>
          <w:tcPr>
            <w:tcW w:w="104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Referecence Generic</w:t>
            </w:r>
          </w:p>
        </w:tc>
      </w:tr>
      <w:tr>
        <w:trPr>
          <w:trHeight w:val="615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Blázquez Sánchez, D. (2010): Evaluar en Educación Física. Barcelona: Ed. INDE.</w:t>
            </w:r>
          </w:p>
          <w:p>
            <w:pPr>
              <w:pStyle w:val="TableParagraph"/>
              <w:spacing w:line="312" w:lineRule="auto" w:before="63"/>
              <w:ind w:right="1585"/>
              <w:rPr>
                <w:sz w:val="18"/>
              </w:rPr>
            </w:pPr>
            <w:r>
              <w:rPr>
                <w:sz w:val="18"/>
              </w:rPr>
              <w:t>Contreras Jordán, O.R. (1999). Didáctica de la Educación Física: un enfoque constructivista. Barcelona: Inde.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Cratty, B.J. (1982). Desarrollo perceptual y motor en los niños. Buenos Aires: Paidos.</w:t>
            </w:r>
          </w:p>
          <w:p>
            <w:pPr>
              <w:pStyle w:val="TableParagraph"/>
              <w:spacing w:line="312" w:lineRule="auto" w:before="2"/>
              <w:ind w:right="215"/>
              <w:rPr>
                <w:sz w:val="18"/>
              </w:rPr>
            </w:pPr>
            <w:r>
              <w:rPr>
                <w:sz w:val="18"/>
              </w:rPr>
              <w:t>Escribá Fernández-Marcote, A. (1998). Los juegos sensoriales y psicomotrices en la Educación Fisica. Madrid: Grada Gymnos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D.L.</w:t>
            </w:r>
          </w:p>
          <w:p>
            <w:pPr>
              <w:pStyle w:val="TableParagraph"/>
              <w:spacing w:line="312" w:lineRule="auto" w:before="2"/>
              <w:ind w:right="345"/>
              <w:rPr>
                <w:sz w:val="18"/>
              </w:rPr>
            </w:pPr>
            <w:r>
              <w:rPr>
                <w:sz w:val="18"/>
              </w:rPr>
              <w:t>Fernández García, E. Gardoqui Torralba, ML. Sánchez Bañuelos, F. (2007). Evaluación de las Habilidades motrices Básicas.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Determinación de escalas para la evaluación de desplazamientos, giros y manejo de móviles. Barcelona: INDE.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García López, A. (2008). Los juegos en la motricidad infantil de los 3 a los 6 años. Madrid: Inde.</w:t>
            </w:r>
          </w:p>
          <w:p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Jardí Pinyol, C. Rius Sant, J. (2009). 1000 ejercicios y juegos con material alternativo. Barcelona: Paidotribo.</w:t>
            </w:r>
          </w:p>
          <w:p>
            <w:pPr>
              <w:pStyle w:val="TableParagraph"/>
              <w:spacing w:line="312" w:lineRule="auto" w:before="63"/>
              <w:ind w:right="354"/>
              <w:rPr>
                <w:sz w:val="18"/>
              </w:rPr>
            </w:pPr>
            <w:r>
              <w:rPr>
                <w:sz w:val="18"/>
              </w:rPr>
              <w:t>Lapierre, A. Llorca, M. Sánchez, J. (2015). Fundamentos de intervención en Psicomotricidad Relacional: reflexiones desde 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práctica. Málaga: Aljibe D.L.</w:t>
            </w:r>
          </w:p>
          <w:p>
            <w:pPr>
              <w:pStyle w:val="TableParagraph"/>
              <w:spacing w:line="312" w:lineRule="auto" w:before="2"/>
              <w:ind w:right="245"/>
              <w:rPr>
                <w:sz w:val="18"/>
              </w:rPr>
            </w:pPr>
            <w:r>
              <w:rPr>
                <w:sz w:val="18"/>
              </w:rPr>
              <w:t>Méndez Giménez, A. Méndez Giménez, C. (2014) Los juegos en el curriculum de la Educación fisica. Barcelona: Paidotribo.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Pastor Pradillo, J.L. (2007). Motricidad: perspectiva pscicomotricista de la intervención. Sevilla: Wanceulen Editorial Deportiva.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Rigal, R. (2006). Educación motriz y educación psicomotriz en preescolar y primaria. Madrid: Inde.</w:t>
            </w:r>
          </w:p>
          <w:p>
            <w:pPr>
              <w:pStyle w:val="TableParagraph"/>
              <w:spacing w:line="312" w:lineRule="auto" w:before="3"/>
              <w:ind w:right="314"/>
              <w:rPr>
                <w:sz w:val="18"/>
              </w:rPr>
            </w:pPr>
            <w:r>
              <w:rPr>
                <w:sz w:val="18"/>
              </w:rPr>
              <w:t>Ríos Hernández, M. (1999). Actividad física adaptada: El juego y los alumnos con discapacidad: La integración en los juegos.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Juegos especificos. Juegos motrices. Barcelona: Paidotribo.</w:t>
            </w:r>
          </w:p>
          <w:p>
            <w:pPr>
              <w:pStyle w:val="TableParagraph"/>
              <w:spacing w:line="312" w:lineRule="auto" w:before="2"/>
              <w:ind w:right="315"/>
              <w:rPr>
                <w:sz w:val="18"/>
              </w:rPr>
            </w:pPr>
            <w:r>
              <w:rPr>
                <w:sz w:val="18"/>
              </w:rPr>
              <w:t>Rivadeneya Sicilia, ML. (2003). Desarrollo de la motricidad en los distintos contextos deportivos. Sevilla: Editorial Wanceulen.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Sánchez Bañuelos, F. (1984). Bases para una didáctica de la educación física y el deporte. Madrid: Ed. Gymnos.</w:t>
            </w:r>
          </w:p>
          <w:p>
            <w:pPr>
              <w:pStyle w:val="TableParagraph"/>
              <w:spacing w:line="312" w:lineRule="auto" w:before="2"/>
              <w:ind w:right="3797"/>
              <w:rPr>
                <w:sz w:val="18"/>
              </w:rPr>
            </w:pPr>
            <w:r>
              <w:rPr>
                <w:sz w:val="18"/>
              </w:rPr>
              <w:t>Tamarit Valero, A. (2016). Desarrollo Cognitivo y Motor. Madrid: Editorial Sintesis.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Tasset, J.M. (1996). Teoría y práctica de la psicomotricidad. Barcelona: Paidós.</w:t>
            </w:r>
          </w:p>
          <w:p>
            <w:pPr>
              <w:pStyle w:val="TableParagraph"/>
              <w:spacing w:line="312" w:lineRule="auto" w:before="2"/>
              <w:ind w:right="754"/>
              <w:rPr>
                <w:sz w:val="18"/>
              </w:rPr>
            </w:pPr>
            <w:r>
              <w:rPr>
                <w:sz w:val="18"/>
              </w:rPr>
              <w:t>Valdemoros San Emeterio, MA. (2013). La motricidad en Educación Infantil: propuestas prácticas para el aula. Contexto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Educativos: Revista de educación, 0(12): 181-182.</w:t>
            </w:r>
          </w:p>
        </w:tc>
      </w:tr>
      <w:tr>
        <w:trPr>
          <w:trHeight w:val="48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Reference literature</w:t>
            </w:r>
          </w:p>
        </w:tc>
      </w:tr>
      <w:tr>
        <w:trPr>
          <w:trHeight w:val="2917" w:hRule="atLeast"/>
        </w:trPr>
        <w:tc>
          <w:tcPr>
            <w:tcW w:w="1046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Ballesteros Jimenez, S. (1982). El esquema corporal. Madrid: TEA Ediciones.</w:t>
            </w:r>
          </w:p>
          <w:p>
            <w:pPr>
              <w:pStyle w:val="TableParagraph"/>
              <w:spacing w:line="312" w:lineRule="auto" w:before="63"/>
              <w:ind w:right="315"/>
              <w:rPr>
                <w:sz w:val="18"/>
              </w:rPr>
            </w:pPr>
            <w:r>
              <w:rPr>
                <w:sz w:val="18"/>
              </w:rPr>
              <w:t>Guilmain, E. Guilmain, G. (1981). Evolución Psicomotriz desde el nacimiento hasta los 12 años. Barcelona: Editorial Médica y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Técnica.</w:t>
            </w:r>
          </w:p>
          <w:p>
            <w:pPr>
              <w:pStyle w:val="TableParagraph"/>
              <w:spacing w:line="312" w:lineRule="auto" w:before="2"/>
              <w:ind w:right="395"/>
              <w:rPr>
                <w:sz w:val="18"/>
              </w:rPr>
            </w:pPr>
            <w:r>
              <w:rPr>
                <w:sz w:val="18"/>
              </w:rPr>
              <w:t>Ruis Perez, L.M. (1995). Competencia Motriz: Elementos para comprender el aprendizaje motor en educación física escolar.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Madrid: Gymnos.</w:t>
            </w:r>
          </w:p>
          <w:p>
            <w:pPr>
              <w:pStyle w:val="TableParagraph"/>
              <w:spacing w:line="312" w:lineRule="auto" w:before="2"/>
              <w:ind w:right="154"/>
              <w:rPr>
                <w:sz w:val="18"/>
              </w:rPr>
            </w:pPr>
            <w:r>
              <w:rPr>
                <w:sz w:val="18"/>
              </w:rPr>
              <w:t>Ruiz Omeñaca, J.V. (2011). El cuento motor en la educación infantil y en la educación física escolar: como construir un espacio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para jugar, cooperar, convivir y crear. Sevilla: Wanceulen.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Sánchez Bañuelos, F. (2010). La actividad física orientada hacia la salud. Madrid: Biblioteca Nueva.</w:t>
            </w:r>
          </w:p>
          <w:p>
            <w:pPr>
              <w:pStyle w:val="TableParagraph"/>
              <w:spacing w:line="312" w:lineRule="auto" w:before="63"/>
              <w:ind w:right="1732"/>
              <w:rPr>
                <w:sz w:val="18"/>
              </w:rPr>
            </w:pPr>
            <w:r>
              <w:rPr>
                <w:sz w:val="18"/>
              </w:rPr>
              <w:t>Sicilia Camacho, Á. Delgado Noguera, M.Á. (2002). Educación Física y Estilos de enseñanza. Madrid: Inde.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Vázquez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Gómez,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Camerino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Foguet,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(2001).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actividad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física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deporte.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Madrid: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Síntesis.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87.220001pt;margin-top:812pt;width:73.8pt;height:17pt;mso-position-horizontal-relative:page;mso-position-vertical-relative:page;z-index:15732736" id="docshape13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7" w:hRule="atLeast"/>
        </w:trPr>
        <w:tc>
          <w:tcPr>
            <w:tcW w:w="10460" w:type="dxa"/>
            <w:gridSpan w:val="2"/>
            <w:shd w:val="clear" w:color="auto" w:fill="D1CCBF"/>
          </w:tcPr>
          <w:p>
            <w:pPr>
              <w:pStyle w:val="TableParagraph"/>
              <w:spacing w:before="6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IX.-Lecturers/Teachers/Professors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Lecturer/teacher/professor´s name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ADRIAN SOLERA ALFONSO</w:t>
            </w:r>
          </w:p>
        </w:tc>
      </w:tr>
      <w:tr>
        <w:trPr>
          <w:trHeight w:val="47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E-mail address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hyperlink r:id="rId6">
              <w:r>
                <w:rPr>
                  <w:sz w:val="18"/>
                </w:rPr>
                <w:t>adrian.solera@urjc.es</w:t>
              </w:r>
            </w:hyperlink>
          </w:p>
        </w:tc>
      </w:tr>
      <w:tr>
        <w:trPr>
          <w:trHeight w:val="75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Department/field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257"/>
              <w:rPr>
                <w:sz w:val="18"/>
              </w:rPr>
            </w:pPr>
            <w:r>
              <w:rPr>
                <w:sz w:val="18"/>
              </w:rPr>
              <w:t>Fisioterapia, Terapia Ocupacional, Rehabilitación y Medicina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Física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Profesor/a Asociado/a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Subject Coordinator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0" w:footer="261" w:top="1380" w:bottom="745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75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Academic tutorial timetable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585"/>
              <w:rPr>
                <w:sz w:val="18"/>
              </w:rPr>
            </w:pPr>
            <w:r>
              <w:rPr>
                <w:sz w:val="18"/>
              </w:rPr>
              <w:t>Para consultar las tutorias póngase en contacto con el/la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profesor/-a a través de correo electrónico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of Quinquenios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of Sexenio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period for technology transfer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Stretch Docentia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175" w:hRule="atLeast"/>
        </w:trPr>
        <w:tc>
          <w:tcPr>
            <w:tcW w:w="10460" w:type="dxa"/>
            <w:gridSpan w:val="2"/>
            <w:tcBorders>
              <w:bottom w:val="single" w:sz="12" w:space="0" w:color="000000"/>
            </w:tcBorders>
            <w:shd w:val="clear" w:color="auto" w:fill="DDDAD1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Lecturer/teacher/professor´s name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DANIEL BORES GARCIA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E-mail address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hyperlink r:id="rId7">
              <w:r>
                <w:rPr>
                  <w:sz w:val="18"/>
                </w:rPr>
                <w:t>daniel.bores@urjc.es</w:t>
              </w:r>
            </w:hyperlink>
          </w:p>
        </w:tc>
      </w:tr>
      <w:tr>
        <w:trPr>
          <w:trHeight w:val="75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Department/field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257"/>
              <w:rPr>
                <w:sz w:val="18"/>
              </w:rPr>
            </w:pPr>
            <w:r>
              <w:rPr>
                <w:sz w:val="18"/>
              </w:rPr>
              <w:t>Fisioterapia, Terapia Ocupacional, Rehabilitación y Medicina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Física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Profesor/a Asociado/a</w:t>
            </w: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Academic qualifications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Doctor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Subject Coordinator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75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Academic tutorial timetable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585"/>
              <w:rPr>
                <w:sz w:val="18"/>
              </w:rPr>
            </w:pPr>
            <w:r>
              <w:rPr>
                <w:sz w:val="18"/>
              </w:rPr>
              <w:t>Para consultar las tutorias póngase en contacto con el/la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profesor/-a a través de correo electrónico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of Quinquenios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of Sexenio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period for technology transfer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Stretch Docentia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10460" w:type="dxa"/>
            <w:gridSpan w:val="2"/>
            <w:shd w:val="clear" w:color="auto" w:fill="DDDAD1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487" w:hRule="atLeast"/>
        </w:trPr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Lecturer/teacher/professor´s name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 MANUEL DELFA DE LA MORENA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E-mail address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hyperlink r:id="rId8">
              <w:r>
                <w:rPr>
                  <w:sz w:val="18"/>
                </w:rPr>
                <w:t>jose.delfa@urjc.es</w:t>
              </w:r>
            </w:hyperlink>
          </w:p>
        </w:tc>
      </w:tr>
      <w:tr>
        <w:trPr>
          <w:trHeight w:val="747" w:hRule="atLeast"/>
        </w:trPr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Department/field</w:t>
            </w:r>
          </w:p>
        </w:tc>
        <w:tc>
          <w:tcPr>
            <w:tcW w:w="52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257"/>
              <w:rPr>
                <w:sz w:val="18"/>
              </w:rPr>
            </w:pPr>
            <w:r>
              <w:rPr>
                <w:sz w:val="18"/>
              </w:rPr>
              <w:t>Fisioterapia, Terapia Ocupacional, Rehabilitación y Medicina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Física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Profesor/a Colaborador/a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Academic qualifications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Doctor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Subject Coordinator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757" w:hRule="atLeast"/>
        </w:trPr>
        <w:tc>
          <w:tcPr>
            <w:tcW w:w="5230" w:type="dxa"/>
          </w:tcPr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Academic tutorial timetable</w:t>
            </w:r>
          </w:p>
        </w:tc>
        <w:tc>
          <w:tcPr>
            <w:tcW w:w="5230" w:type="dxa"/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right="585"/>
              <w:rPr>
                <w:sz w:val="18"/>
              </w:rPr>
            </w:pPr>
            <w:r>
              <w:rPr>
                <w:sz w:val="18"/>
              </w:rPr>
              <w:t>Para consultar las tutorias póngase en contacto con el/la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profesor/-a a través de correo electrónico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of Quinquenios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of Sexenio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7.220001pt;margin-top:812pt;width:73.8pt;height:17pt;mso-position-horizontal-relative:page;mso-position-vertical-relative:page;z-index:15733248" id="docshape14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0" w:footer="261" w:top="1380" w:bottom="773" w:left="580" w:right="580"/>
        </w:sect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0"/>
        <w:gridCol w:w="5230"/>
      </w:tblGrid>
      <w:tr>
        <w:trPr>
          <w:trHeight w:val="482" w:hRule="atLeast"/>
        </w:trPr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Nº period for technology transfer</w:t>
            </w:r>
          </w:p>
        </w:tc>
        <w:tc>
          <w:tcPr>
            <w:tcW w:w="52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482" w:hRule="atLeast"/>
        </w:trPr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Stretch Docentia</w:t>
            </w:r>
          </w:p>
        </w:tc>
        <w:tc>
          <w:tcPr>
            <w:tcW w:w="52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10460" w:type="dxa"/>
            <w:gridSpan w:val="2"/>
            <w:shd w:val="clear" w:color="auto" w:fill="DDDAD1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7.220001pt;margin-top:812pt;width:73.8pt;height:17pt;mso-position-horizontal-relative:page;mso-position-vertical-relative:page;z-index:15733760" id="docshape15" coordorigin="9744,16240" coordsize="1476,340" path="m9744,16580l9744,16240m11220,16580l11220,16240m9744,16580l11220,16580m9744,16240l11220,16240e" filled="false" stroked="true" strokeweight=".5pt" strokecolor="#000000">
            <v:path arrowok="t"/>
            <v:stroke dashstyle="solid"/>
            <w10:wrap type="none"/>
          </v:shape>
        </w:pict>
      </w:r>
    </w:p>
    <w:sectPr>
      <w:type w:val="continuous"/>
      <w:pgSz w:w="11900" w:h="16840"/>
      <w:pgMar w:header="0" w:footer="261" w:top="1380" w:bottom="46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pt;margin-top:812pt;width:527pt;height:17pt;mso-position-horizontal-relative:page;mso-position-vertical-relative:page;z-index:-16195584" id="docshape2" coordorigin="680,16240" coordsize="10540,340" path="m9744,16580l9744,16240m680,16240l9744,16240m11220,16580l11220,16240m9744,16580l11220,16580m9744,16240l11220,16240e" filled="false" stroked="true" strokeweight=".5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3.947266pt;width:223.25pt;height:13.2pt;mso-position-horizontal-relative:page;mso-position-vertical-relative:page;z-index:-1619507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Vicerrectorado de Calidad, Ética y Buen Gobierno</w:t>
                </w:r>
              </w:p>
            </w:txbxContent>
          </v:textbox>
          <w10:wrap type="none"/>
        </v:shape>
      </w:pict>
    </w:r>
    <w:r>
      <w:rPr/>
      <w:pict>
        <v:shape style="position:absolute;margin-left:504.480011pt;margin-top:813.947266pt;width:42.3pt;height:13.2pt;mso-position-horizontal-relative:page;mso-position-vertical-relative:page;z-index:-16194560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15"/>
        <w:jc w:val="left"/>
      </w:pPr>
      <w:rPr>
        <w:rFonts w:hint="default"/>
        <w:spacing w:val="0"/>
        <w:w w:val="100"/>
      </w:rPr>
    </w:lvl>
    <w:lvl w:ilvl="1">
      <w:start w:val="0"/>
      <w:numFmt w:val="bullet"/>
      <w:lvlText w:val="•"/>
      <w:lvlJc w:val="left"/>
      <w:pPr>
        <w:ind w:left="1134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8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2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6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8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drian.solera@urjc.es" TargetMode="External"/><Relationship Id="rId7" Type="http://schemas.openxmlformats.org/officeDocument/2006/relationships/hyperlink" Target="mailto:daniel.bores@urjc.es" TargetMode="External"/><Relationship Id="rId8" Type="http://schemas.openxmlformats.org/officeDocument/2006/relationships/hyperlink" Target="mailto:jose.delfa@urjc.e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2022-09-29T08:45:04Z</dcterms:created>
  <dcterms:modified xsi:type="dcterms:W3CDTF">2022-09-29T08:45:04Z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2022-09-29T00:00:00Z</vt:filetime>
  </property>
</Properties>
</file>