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7"/>
        </w:rPr>
      </w:pPr>
    </w:p>
    <w:p>
      <w:pPr>
        <w:pStyle w:val="BodyText"/>
        <w:spacing w:before="89"/>
        <w:ind w:left="948" w:right="548"/>
        <w:jc w:val="center"/>
      </w:pPr>
      <w:r>
        <w:rPr/>
        <w:t>GUÍA DOCENTE</w:t>
      </w:r>
    </w:p>
    <w:p>
      <w:pPr>
        <w:pStyle w:val="BodyText"/>
        <w:spacing w:line="208" w:lineRule="auto" w:before="310"/>
        <w:ind w:left="950" w:right="548"/>
        <w:jc w:val="center"/>
      </w:pPr>
      <w:r>
        <w:rPr/>
        <w:t>MARKETING GLOBAL E INTERNACIONAL Y COMERCIO</w:t>
      </w:r>
      <w:r>
        <w:rPr>
          <w:spacing w:val="-99"/>
        </w:rPr>
        <w:t> </w:t>
      </w:r>
      <w:r>
        <w:rPr/>
        <w:t>EXTERIOR (SEMIPRESENCIAL)</w:t>
      </w: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1"/>
        <w:rPr>
          <w:b/>
          <w:sz w:val="43"/>
        </w:rPr>
      </w:pPr>
    </w:p>
    <w:p>
      <w:pPr>
        <w:pStyle w:val="BodyText"/>
        <w:ind w:left="847" w:right="548"/>
        <w:jc w:val="center"/>
      </w:pPr>
      <w:r>
        <w:rPr/>
        <w:t>GRADO EN MARKETING</w:t>
      </w: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3"/>
        <w:rPr>
          <w:b/>
          <w:sz w:val="42"/>
        </w:rPr>
      </w:pPr>
    </w:p>
    <w:p>
      <w:pPr>
        <w:pStyle w:val="BodyText"/>
        <w:ind w:left="948" w:right="548"/>
        <w:jc w:val="center"/>
      </w:pPr>
      <w:r>
        <w:rPr/>
        <w:t>CURSO 2022-23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190244</wp:posOffset>
            </wp:positionH>
            <wp:positionV relativeFrom="paragraph">
              <wp:posOffset>207062</wp:posOffset>
            </wp:positionV>
            <wp:extent cx="4640461" cy="103584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61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2"/>
        <w:rPr>
          <w:b/>
          <w:sz w:val="37"/>
        </w:rPr>
      </w:pPr>
    </w:p>
    <w:p>
      <w:pPr>
        <w:spacing w:before="1"/>
        <w:ind w:left="0" w:right="137" w:firstLine="0"/>
        <w:jc w:val="right"/>
        <w:rPr>
          <w:sz w:val="18"/>
        </w:rPr>
      </w:pPr>
      <w:r>
        <w:rPr>
          <w:sz w:val="18"/>
        </w:rPr>
        <w:t>Fecha de publicación: 05-07-2022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7"/>
        </w:rPr>
      </w:pPr>
      <w:r>
        <w:rPr/>
        <w:pict>
          <v:group style="position:absolute;margin-left:34pt;margin-top:16.840998pt;width:527pt;height:.5pt;mso-position-horizontal-relative:page;mso-position-vertical-relative:paragraph;z-index:-15728128;mso-wrap-distance-left:0;mso-wrap-distance-right:0" id="docshapegroup1" coordorigin="680,337" coordsize="10540,10">
            <v:line style="position:absolute" from="680,342" to="9744,342" stroked="true" strokeweight=".5pt" strokecolor="#000000">
              <v:stroke dashstyle="solid"/>
            </v:line>
            <v:line style="position:absolute" from="9744,342" to="11220,342" stroked="true" strokeweight=".5pt" strokecolor="#000000">
              <v:stroke dashstyle="solid"/>
            </v:line>
            <w10:wrap type="topAndBottom"/>
          </v:group>
        </w:pict>
      </w:r>
    </w:p>
    <w:p>
      <w:pPr>
        <w:spacing w:before="47"/>
        <w:ind w:left="540" w:right="0" w:firstLine="0"/>
        <w:jc w:val="left"/>
        <w:rPr>
          <w:sz w:val="20"/>
        </w:rPr>
      </w:pPr>
      <w:r>
        <w:rPr>
          <w:sz w:val="20"/>
        </w:rPr>
        <w:t>Vicerrectorado de Calidad, Ética y Buen Gobierno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600" w:bottom="0" w:left="180" w:right="580"/>
        </w:sectPr>
      </w:pPr>
    </w:p>
    <w:p>
      <w:pPr>
        <w:spacing w:line="240" w:lineRule="auto" w:before="4"/>
        <w:rPr>
          <w:sz w:val="17"/>
        </w:rPr>
      </w:pPr>
      <w:r>
        <w:rPr/>
        <w:pict>
          <v:shape style="position:absolute;margin-left:34pt;margin-top:812pt;width:527pt;height:17pt;mso-position-horizontal-relative:page;mso-position-vertical-relative:page;z-index:-16240128" id="docshape5" coordorigin="680,16240" coordsize="10540,340" path="m9744,16580l9744,16240m680,16240l9744,16240m11220,16580l11220,16240m9744,16580l11220,16580m9744,16240l11220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 w:line="240" w:lineRule="auto"/>
        <w:rPr>
          <w:sz w:val="17"/>
        </w:rPr>
        <w:sectPr>
          <w:footerReference w:type="default" r:id="rId6"/>
          <w:pgSz w:w="11900" w:h="16840"/>
          <w:pgMar w:footer="261" w:header="0" w:top="1600" w:bottom="460" w:left="180" w:right="580"/>
          <w:pgNumType w:start="2"/>
        </w:sect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I.-Identificación de la Asignatura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OPTATIVA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Período de impartición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4 curso, 1Q semestre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de créditos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Idioma en el que se imparte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Castellano</w:t>
            </w:r>
          </w:p>
        </w:tc>
      </w:tr>
    </w:tbl>
    <w:p>
      <w:pPr>
        <w:spacing w:line="240" w:lineRule="auto" w:before="0"/>
        <w:rPr>
          <w:sz w:val="20"/>
        </w:rPr>
      </w:pPr>
      <w:r>
        <w:rPr/>
        <w:pict>
          <v:shape style="position:absolute;margin-left:487.220001pt;margin-top:812pt;width:73.8pt;height:17pt;mso-position-horizontal-relative:page;mso-position-vertical-relative:page;z-index:15730176" id="docshape6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8"/>
        </w:r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7" w:hRule="atLeast"/>
        </w:trPr>
        <w:tc>
          <w:tcPr>
            <w:tcW w:w="10460" w:type="dxa"/>
            <w:shd w:val="clear" w:color="auto" w:fill="D1CCBF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II.-Presentación</w:t>
            </w:r>
          </w:p>
        </w:tc>
      </w:tr>
      <w:tr>
        <w:trPr>
          <w:trHeight w:val="264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52"/>
              <w:jc w:val="both"/>
              <w:rPr>
                <w:sz w:val="18"/>
              </w:rPr>
            </w:pPr>
            <w:r>
              <w:rPr>
                <w:sz w:val="18"/>
              </w:rPr>
              <w:t>Este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curso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explora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estrategias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marketing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estrategias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marketing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adecuadas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aplicar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mercados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dinámicos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cambiantes.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analizará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causas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consecuencias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comercio internacional (por qué es bueno exportar) productos y servicios y su vínculo con inversiones. Estudiaremos por qué las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naciones realizan comercio internacional, qué comercializan y quien gana (o pierden) con el comercio y la participación en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cadenas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global.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Obtendremos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mayor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conocimiento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debate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globalización,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mecanismos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protección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comercio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efectos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pandemia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global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COVID,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conflictos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bélicos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2022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lucha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contra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cambio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climático en el comercio internacional. Analizaremos aspectos que actualmente son cruciales en el comercio internacional y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estrategias de marketing internacional tales como propiedad intelectual, facilitación de comercio, corrupción en comercio,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comercio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ilícito,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desigualdades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género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comercio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internacional,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protección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medio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ambiente.</w:t>
            </w:r>
          </w:p>
        </w:tc>
      </w:tr>
    </w:tbl>
    <w:p>
      <w:pPr>
        <w:spacing w:line="240" w:lineRule="auto" w:before="6" w:after="1"/>
        <w:rPr>
          <w:sz w:val="29"/>
        </w:r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III.-Competencias</w:t>
            </w:r>
          </w:p>
        </w:tc>
      </w:tr>
      <w:tr>
        <w:trPr>
          <w:trHeight w:val="477" w:hRule="atLeast"/>
        </w:trPr>
        <w:tc>
          <w:tcPr>
            <w:tcW w:w="10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Competencias Generales</w:t>
            </w:r>
          </w:p>
        </w:tc>
      </w:tr>
      <w:tr>
        <w:trPr>
          <w:trHeight w:val="31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425"/>
              <w:rPr>
                <w:sz w:val="18"/>
              </w:rPr>
            </w:pPr>
            <w:r>
              <w:rPr>
                <w:sz w:val="18"/>
              </w:rPr>
              <w:t>CG01. Capacidad de análisis y síntesis: analizar, sintetizar, valorar y tomar decisiones a partir de los registros relevantes de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información sobre la situación y previsible evolución de una empresa.</w:t>
            </w:r>
          </w:p>
          <w:p>
            <w:pPr>
              <w:pStyle w:val="TableParagraph"/>
              <w:spacing w:line="312" w:lineRule="auto" w:before="2"/>
              <w:ind w:left="100" w:right="714"/>
              <w:rPr>
                <w:sz w:val="18"/>
              </w:rPr>
            </w:pPr>
            <w:r>
              <w:rPr>
                <w:sz w:val="18"/>
              </w:rPr>
              <w:t>CG02. Capacidad de organización y planificación: Aplicada a una empresa u organización, identificando sus fortalezas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debilidades.</w:t>
            </w:r>
          </w:p>
          <w:p>
            <w:pPr>
              <w:pStyle w:val="TableParagraph"/>
              <w:spacing w:line="312" w:lineRule="auto" w:before="2"/>
              <w:ind w:left="100" w:right="174"/>
              <w:rPr>
                <w:sz w:val="18"/>
              </w:rPr>
            </w:pPr>
            <w:r>
              <w:rPr>
                <w:sz w:val="18"/>
              </w:rPr>
              <w:t>CG03. Comunicación oral y escrita en lenguaje nativo: comprender y ser capaz de comunicarse, con corrección y en diferentes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escenarios, en español.</w:t>
            </w:r>
          </w:p>
          <w:p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CG06. Habilidad para analizar, buscar y discriminar información proveniente de fuentes diversas.</w:t>
            </w:r>
          </w:p>
          <w:p>
            <w:pPr>
              <w:pStyle w:val="TableParagraph"/>
              <w:spacing w:line="312" w:lineRule="auto" w:before="63"/>
              <w:ind w:left="100" w:right="454"/>
              <w:rPr>
                <w:sz w:val="18"/>
              </w:rPr>
            </w:pPr>
            <w:r>
              <w:rPr>
                <w:sz w:val="18"/>
              </w:rPr>
              <w:t>CG07.Trabajo en un equipo de carácter interdisciplinar, en un contexto internacional y globalización, en entornos diversos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multiculturales.</w:t>
            </w:r>
          </w:p>
          <w:p>
            <w:pPr>
              <w:pStyle w:val="TableParagraph"/>
              <w:spacing w:line="312" w:lineRule="auto" w:before="2"/>
              <w:ind w:left="100" w:right="4276"/>
              <w:rPr>
                <w:sz w:val="18"/>
              </w:rPr>
            </w:pPr>
            <w:r>
              <w:rPr>
                <w:sz w:val="18"/>
              </w:rPr>
              <w:t>CG08. Liderazgo, creatividad y espíritu emprendedor orientado a la calidad.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CG09. Capacidad crítica y compromiso ético en el trabajo.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Competencias Específicas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0" w:footer="261" w:top="1380" w:bottom="460" w:left="180" w:right="580"/>
        </w:sect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291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73"/>
              <w:rPr>
                <w:sz w:val="18"/>
              </w:rPr>
            </w:pPr>
            <w:r>
              <w:rPr>
                <w:sz w:val="18"/>
              </w:rPr>
              <w:t>CE02. Integrarse en el área funcional de marketing de una empresa u organización y desempeñar con soltura cualquier labor de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gestión en ella encomendada</w:t>
            </w:r>
          </w:p>
          <w:p>
            <w:pPr>
              <w:pStyle w:val="TableParagraph"/>
              <w:spacing w:line="312" w:lineRule="auto" w:before="2"/>
              <w:ind w:left="100" w:right="745"/>
              <w:rPr>
                <w:sz w:val="18"/>
              </w:rPr>
            </w:pPr>
            <w:r>
              <w:rPr>
                <w:sz w:val="18"/>
              </w:rPr>
              <w:t>CE03. Valorar a partir de los registros relevantes de información la situación y previsible evolución de una empresa y en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especial del área de marketing e investigación de mercados</w:t>
            </w:r>
          </w:p>
          <w:p>
            <w:pPr>
              <w:pStyle w:val="TableParagraph"/>
              <w:spacing w:line="312" w:lineRule="auto" w:before="2"/>
              <w:ind w:left="100" w:right="254"/>
              <w:rPr>
                <w:sz w:val="18"/>
              </w:rPr>
            </w:pPr>
            <w:r>
              <w:rPr>
                <w:sz w:val="18"/>
              </w:rPr>
              <w:t>CE06. Entender el impacto del entorno histórico-jurídico-económico en la empresa y en especial en el área de marketing en el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ámbito nacional e internacional.</w:t>
            </w:r>
          </w:p>
          <w:p>
            <w:pPr>
              <w:pStyle w:val="TableParagraph"/>
              <w:spacing w:before="1"/>
              <w:ind w:left="100"/>
              <w:jc w:val="both"/>
              <w:rPr>
                <w:sz w:val="18"/>
              </w:rPr>
            </w:pPr>
            <w:r>
              <w:rPr>
                <w:sz w:val="18"/>
              </w:rPr>
              <w:t>CE13. Ser capaz de tomar decisiones de marketing en ámbitos de actividad específicos.</w:t>
            </w:r>
          </w:p>
          <w:p>
            <w:pPr>
              <w:pStyle w:val="TableParagraph"/>
              <w:spacing w:line="312" w:lineRule="auto" w:before="63"/>
              <w:ind w:left="100" w:right="82"/>
              <w:jc w:val="both"/>
              <w:rPr>
                <w:sz w:val="18"/>
              </w:rPr>
            </w:pPr>
            <w:r>
              <w:rPr>
                <w:sz w:val="18"/>
              </w:rPr>
              <w:t>CE19. Ser capaz de aplicar los conocimientos teóricos, metodológicos y de técnicas (de marketing e investigación de mercados)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 forma conjunta, adquiridas a lo largo de la formación, trabajando en equipo y desarrollando las habilidades y destrezas de un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profesional de marketing e investigación de mercados.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0688" id="docshape7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61" w:top="1380" w:bottom="460" w:left="180" w:right="580"/>
        </w:sect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3121" w:hRule="atLeast"/>
        </w:trPr>
        <w:tc>
          <w:tcPr>
            <w:tcW w:w="10460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IV.-Contenido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IV.A.-Temario de la asignatura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1.- GLOBALIZACIÓN Y POR QUÉ LOS PAÍSES DEBERIAN COMERCIALIZAR INTERNACIONALMENTE</w:t>
            </w:r>
          </w:p>
          <w:p>
            <w:pPr>
              <w:pStyle w:val="TableParagraph"/>
              <w:spacing w:before="63"/>
              <w:ind w:left="100"/>
              <w:rPr>
                <w:sz w:val="18"/>
              </w:rPr>
            </w:pPr>
            <w:r>
              <w:rPr>
                <w:sz w:val="18"/>
              </w:rPr>
              <w:t>2.- COMERCIO INTERNACIONAL DE BIENES</w:t>
            </w:r>
          </w:p>
          <w:p>
            <w:pPr>
              <w:pStyle w:val="TableParagraph"/>
              <w:spacing w:before="63"/>
              <w:ind w:left="100"/>
              <w:rPr>
                <w:sz w:val="18"/>
              </w:rPr>
            </w:pPr>
            <w:r>
              <w:rPr>
                <w:sz w:val="18"/>
              </w:rPr>
              <w:t>3.- COMERCIO INTERNACIONAL DE SERVICIOS</w:t>
            </w:r>
          </w:p>
          <w:p>
            <w:pPr>
              <w:pStyle w:val="TableParagraph"/>
              <w:spacing w:line="312" w:lineRule="auto" w:before="63"/>
              <w:ind w:left="100" w:right="624"/>
              <w:rPr>
                <w:sz w:val="18"/>
              </w:rPr>
            </w:pPr>
            <w:r>
              <w:rPr>
                <w:sz w:val="18"/>
              </w:rPr>
              <w:t>4.- FACILITACIÓN DE COMERCIO INTERNACIONAL: Procedimientos de comercio, documentos y gestión de problemas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5.- ESTRATEGIAS DE DIVERSIFICACIÓN E INTEGRACIÓN EN CADENAS GLOBALES DE SUMINISTRO</w:t>
            </w:r>
          </w:p>
          <w:p>
            <w:pPr>
              <w:pStyle w:val="TableParagraph"/>
              <w:spacing w:line="312" w:lineRule="auto" w:before="1"/>
              <w:ind w:left="100" w:right="1058"/>
              <w:rPr>
                <w:sz w:val="18"/>
              </w:rPr>
            </w:pPr>
            <w:r>
              <w:rPr>
                <w:sz w:val="18"/>
              </w:rPr>
              <w:t>6.- ESTRATEGIAS DE MARKETING INTERNACIONAL Y LOS AJUSTES CORPORATIVOS PARA ABORDAR LAS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OPERACIONES DE MARKETING INTERNACIONAL</w:t>
            </w:r>
          </w:p>
        </w:tc>
      </w:tr>
    </w:tbl>
    <w:p>
      <w:pPr>
        <w:spacing w:line="240" w:lineRule="auto" w:before="0"/>
        <w:rPr>
          <w:sz w:val="20"/>
        </w:rPr>
      </w:pPr>
      <w:r>
        <w:rPr/>
        <w:pict>
          <v:group style="position:absolute;margin-left:40.5pt;margin-top:74.5pt;width:514pt;height:51.75pt;mso-position-horizontal-relative:page;mso-position-vertical-relative:page;z-index:-16238592" id="docshapegroup8" coordorigin="810,1490" coordsize="10280,1035">
            <v:rect style="position:absolute;left:820;top:1500;width:10260;height:508" id="docshape9" filled="true" fillcolor="#d1ccbf" stroked="false">
              <v:fill type="solid"/>
            </v:rect>
            <v:shape style="position:absolute;left:820;top:1500;width:10260;height:1015" id="docshape10" coordorigin="820,1500" coordsize="10260,1015" path="m820,2007l11080,2007,11080,1500,820,1500,820,2007xm820,2515l11080,2515,11080,2007,820,2007,820,2515xe" filled="false" stroked="true" strokeweight="1pt" strokecolor="#000000">
              <v:path arrowok="t"/>
              <v:stroke dashstyle="solid"/>
            </v:shape>
            <w10:wrap type="none"/>
          </v:group>
        </w:pict>
      </w: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IV.B.-Actividades formativas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</w:tr>
      <w:tr>
        <w:trPr>
          <w:trHeight w:val="75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Prácticas / Resolución de ejercicios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336"/>
              <w:rPr>
                <w:sz w:val="18"/>
              </w:rPr>
            </w:pPr>
            <w:r>
              <w:rPr>
                <w:sz w:val="18"/>
              </w:rPr>
              <w:t>Individualmente o en grupo con posibilidad de exposiciones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y/o debates y críticas constructivas</w:t>
            </w:r>
          </w:p>
        </w:tc>
      </w:tr>
      <w:tr>
        <w:trPr>
          <w:trHeight w:val="75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Otras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117"/>
              <w:rPr>
                <w:sz w:val="18"/>
              </w:rPr>
            </w:pPr>
            <w:r>
              <w:rPr>
                <w:sz w:val="18"/>
              </w:rPr>
              <w:t>Videos, podcasts, seminarios y/o material audiovisual, tutorías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académicas, exposiciones y/o debates y críticas constructivas</w:t>
            </w:r>
          </w:p>
        </w:tc>
      </w:tr>
      <w:tr>
        <w:trPr>
          <w:trHeight w:val="75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Lecturas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467"/>
              <w:rPr>
                <w:sz w:val="18"/>
              </w:rPr>
            </w:pPr>
            <w:r>
              <w:rPr>
                <w:sz w:val="18"/>
              </w:rPr>
              <w:t>Lectura exhaustiva del material para la preparación de las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clases</w:t>
            </w:r>
          </w:p>
        </w:tc>
      </w:tr>
    </w:tbl>
    <w:p>
      <w:pPr>
        <w:spacing w:after="0" w:line="312" w:lineRule="auto"/>
        <w:rPr>
          <w:sz w:val="18"/>
        </w:rPr>
        <w:sectPr>
          <w:pgSz w:w="11900" w:h="16840"/>
          <w:pgMar w:header="0" w:footer="261" w:top="1380" w:bottom="520" w:left="180" w:right="580"/>
        </w:sect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V.-Tiempo de Trabajo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Clases teóricas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Clases prácticas de resolución de problemas, casos, etc.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Prácticas en laboratorios tecnológicos, clínicos, etc.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Realización de pruebas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Tutorías académicas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13.5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Actividades relacionadas: jornadas, seminarios, etc.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Preparación de clases teóricas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Preparación de clases prácticas/problemas/casos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Preparación de pruebas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21.5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Total de horas de trabajo del estudiante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</w:tbl>
    <w:p>
      <w:pPr>
        <w:spacing w:line="240" w:lineRule="auto" w:before="0"/>
        <w:rPr>
          <w:sz w:val="20"/>
        </w:rPr>
      </w:pPr>
      <w:r>
        <w:rPr/>
        <w:pict>
          <v:shape style="position:absolute;margin-left:487.220001pt;margin-top:812pt;width:73.8pt;height:17pt;mso-position-horizontal-relative:page;mso-position-vertical-relative:page;z-index:15731712" id="docshape11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7"/>
        <w:gridCol w:w="3487"/>
        <w:gridCol w:w="3487"/>
      </w:tblGrid>
      <w:tr>
        <w:trPr>
          <w:trHeight w:val="487" w:hRule="atLeast"/>
        </w:trPr>
        <w:tc>
          <w:tcPr>
            <w:tcW w:w="10461" w:type="dxa"/>
            <w:gridSpan w:val="3"/>
            <w:shd w:val="clear" w:color="auto" w:fill="D1CCBF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VI.-Metodología y plan de trabajo</w:t>
            </w:r>
          </w:p>
        </w:tc>
      </w:tr>
      <w:tr>
        <w:trPr>
          <w:trHeight w:val="482" w:hRule="atLeast"/>
        </w:trPr>
        <w:tc>
          <w:tcPr>
            <w:tcW w:w="34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348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</w:p>
        </w:tc>
        <w:tc>
          <w:tcPr>
            <w:tcW w:w="34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Contenido</w:t>
            </w:r>
          </w:p>
        </w:tc>
      </w:tr>
      <w:tr>
        <w:trPr>
          <w:trHeight w:val="482" w:hRule="atLeast"/>
        </w:trPr>
        <w:tc>
          <w:tcPr>
            <w:tcW w:w="34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Prácticas</w:t>
            </w:r>
          </w:p>
        </w:tc>
        <w:tc>
          <w:tcPr>
            <w:tcW w:w="348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Semana 1 a Semana 15</w:t>
            </w:r>
          </w:p>
        </w:tc>
        <w:tc>
          <w:tcPr>
            <w:tcW w:w="348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Individualmente o en grupo</w:t>
            </w:r>
          </w:p>
        </w:tc>
      </w:tr>
      <w:tr>
        <w:trPr>
          <w:trHeight w:val="482" w:hRule="atLeast"/>
        </w:trPr>
        <w:tc>
          <w:tcPr>
            <w:tcW w:w="34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Otras Actividades</w:t>
            </w:r>
          </w:p>
        </w:tc>
        <w:tc>
          <w:tcPr>
            <w:tcW w:w="348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Semana 1 a Semana 15</w:t>
            </w:r>
          </w:p>
        </w:tc>
        <w:tc>
          <w:tcPr>
            <w:tcW w:w="34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Videos y/o podcasts</w:t>
            </w:r>
          </w:p>
        </w:tc>
      </w:tr>
      <w:tr>
        <w:trPr>
          <w:trHeight w:val="482" w:hRule="atLeast"/>
        </w:trPr>
        <w:tc>
          <w:tcPr>
            <w:tcW w:w="34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Clases Teóricas</w:t>
            </w:r>
          </w:p>
        </w:tc>
        <w:tc>
          <w:tcPr>
            <w:tcW w:w="348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Semana 1 a Semana 15</w:t>
            </w:r>
          </w:p>
        </w:tc>
        <w:tc>
          <w:tcPr>
            <w:tcW w:w="348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Clase magistral y debates</w:t>
            </w:r>
          </w:p>
        </w:tc>
      </w:tr>
      <w:tr>
        <w:trPr>
          <w:trHeight w:val="1027" w:hRule="atLeast"/>
        </w:trPr>
        <w:tc>
          <w:tcPr>
            <w:tcW w:w="34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Lecturas</w:t>
            </w:r>
          </w:p>
        </w:tc>
        <w:tc>
          <w:tcPr>
            <w:tcW w:w="348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Semana 1 a Semana 15</w:t>
            </w:r>
          </w:p>
        </w:tc>
        <w:tc>
          <w:tcPr>
            <w:tcW w:w="348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94" w:right="336"/>
              <w:rPr>
                <w:sz w:val="18"/>
              </w:rPr>
            </w:pPr>
            <w:r>
              <w:rPr>
                <w:sz w:val="18"/>
              </w:rPr>
              <w:t>Lecturas prácticas y/o teóricas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debates y planteamiento de ejercicios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y/o prácticas</w:t>
            </w:r>
          </w:p>
        </w:tc>
      </w:tr>
    </w:tbl>
    <w:p>
      <w:pPr>
        <w:spacing w:after="0" w:line="312" w:lineRule="auto"/>
        <w:rPr>
          <w:sz w:val="18"/>
        </w:rPr>
        <w:sectPr>
          <w:pgSz w:w="11900" w:h="16840"/>
          <w:pgMar w:header="0" w:footer="261" w:top="1380" w:bottom="460" w:left="180" w:right="580"/>
        </w:sect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VII.-Métodos de evaluación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VII.A.-Ponderación para la evaluación</w:t>
            </w:r>
          </w:p>
        </w:tc>
      </w:tr>
      <w:tr>
        <w:trPr>
          <w:trHeight w:val="372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ordinaria continua:</w:t>
            </w:r>
          </w:p>
          <w:p>
            <w:pPr>
              <w:pStyle w:val="TableParagraph"/>
              <w:spacing w:line="312" w:lineRule="auto" w:before="63"/>
              <w:ind w:left="100" w:right="54"/>
              <w:jc w:val="both"/>
              <w:rPr>
                <w:sz w:val="18"/>
              </w:rPr>
            </w:pPr>
            <w:r>
              <w:rPr>
                <w:sz w:val="18"/>
              </w:rPr>
              <w:t>La distribución y características de las pruebas de evaluación son las que se describen a continuación. Solo en casos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excepcionales y especialmente motivados, el profesor podrá incorporar adaptaciones en la Guía. Dichos cambios requerirán,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previa consulta al Responsable de la Asignatura, la autorización previa y expresa del Coordinador de Grado, quien notificará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Vicerrectorado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competencias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Ordenación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Académica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modificación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realizada.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caso,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modificaciones que se propongan deberán atender a lo establecido en la memoria verificada. Para que tales cambios sean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efectivos,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deberán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debidamente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comunicados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comienzo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curso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estudiantes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través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Aula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Virtual.</w:t>
            </w:r>
          </w:p>
          <w:p>
            <w:pPr>
              <w:pStyle w:val="TableParagraph"/>
              <w:spacing w:line="312" w:lineRule="auto" w:before="5"/>
              <w:ind w:left="100" w:right="52"/>
              <w:jc w:val="both"/>
              <w:rPr>
                <w:sz w:val="18"/>
              </w:rPr>
            </w:pPr>
            <w:r>
              <w:rPr>
                <w:sz w:val="18"/>
              </w:rPr>
              <w:t>La suma de las actividades no revaluables no podrá superar el 50% de la nota de la asignatura y, en general, no podrán tener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mínima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(salvo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laboratorio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clínicas,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cuando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esté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debidamente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justificado),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evitando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incorporar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pruebas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superen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60%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ponderación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asignatura.</w:t>
            </w:r>
          </w:p>
          <w:p>
            <w:pPr>
              <w:pStyle w:val="TableParagraph"/>
              <w:spacing w:line="312" w:lineRule="auto" w:before="3"/>
              <w:ind w:left="100" w:right="7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Evaluación extraordinaria: </w:t>
            </w:r>
            <w:r>
              <w:rPr>
                <w:sz w:val="18"/>
              </w:rPr>
              <w:t>Los estudiantes que no consigan superar la evaluación ordinaria, o no se hayan presentado, serán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objeto de la realización de una evaluación extraordinaria para verificar la adquisición de las competencias establecidas en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guía,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únicamente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evaluación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revaluables.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 las pruebas de evaluación y su ponderación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2224" id="docshape12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header="0" w:footer="261" w:top="1380" w:bottom="460" w:left="180" w:right="580"/>
        </w:sect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14700" w:hRule="atLeast"/>
        </w:trPr>
        <w:tc>
          <w:tcPr>
            <w:tcW w:w="1046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00"/>
              <w:jc w:val="both"/>
              <w:rPr>
                <w:sz w:val="18"/>
              </w:rPr>
            </w:pPr>
            <w:r>
              <w:rPr>
                <w:sz w:val="18"/>
              </w:rPr>
              <w:t>Primera Evaluación: Evaluación Ordinaria</w:t>
            </w:r>
          </w:p>
          <w:p>
            <w:pPr>
              <w:pStyle w:val="TableParagraph"/>
              <w:spacing w:line="312" w:lineRule="auto" w:before="63"/>
              <w:ind w:left="100" w:right="72"/>
              <w:jc w:val="both"/>
              <w:rPr>
                <w:sz w:val="18"/>
              </w:rPr>
            </w:pPr>
            <w:r>
              <w:rPr>
                <w:sz w:val="18"/>
              </w:rPr>
              <w:t>De los estudiantes se espera tener una actividad participativa en la clase a lo largo del curso y contribuir a la calidad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discusión. Se espera que todo el mundo esté bien preparado para cada clase y dispuesto a responder preguntas, de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estudiantes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espera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lean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ejercicios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lecturas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sesión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cuando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profesor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lo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requiera.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estudiantes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podrían ser requeridos a participar obligatoriamente en cualquier clase o clase magistral o tutoría, la cual sería anunciada con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información precisa para atenderla. Los exámenes cubrirán todo el material lectivo que incluye también todas las lecturas 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práctico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tareas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ejercicios.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lecturas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específicas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requeridas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examen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serán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anunciadas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tiempo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antelación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sobra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examen.</w:t>
            </w:r>
          </w:p>
          <w:p>
            <w:pPr>
              <w:pStyle w:val="TableParagraph"/>
              <w:spacing w:line="312" w:lineRule="auto" w:before="7"/>
              <w:ind w:left="100" w:right="71"/>
              <w:jc w:val="both"/>
              <w:rPr>
                <w:sz w:val="18"/>
              </w:rPr>
            </w:pPr>
            <w:r>
              <w:rPr>
                <w:sz w:val="18"/>
              </w:rPr>
              <w:t>El profesorado y los estudiantes serán preparados para la posibilidad de una interrupción de las clases y/o pruebas online 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presenciales mediante el establecimiento de una nueva política dentro y acorde a la guía docente actual y/o a una nueva guía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docente para mantener la continuidad instructiva docente en caso de una profunda interrupción o alteración eventual no prevista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que requiera una nueva política de la Universidad (como una pandemia). Durante el cierre del campus, el horario de clases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regulares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deberá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mantenido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campus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forma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presencial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siempre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posible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aquellos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profesores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que deseen y puedan conllevar el continuo progreso académico a través de las clases a distancia sincronizadas siempre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posible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circunstancias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permitan.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cambios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curso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guía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docente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anunciados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aula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virtual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web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Universidad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(por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ejemplo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calendario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calendario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exámenes,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etc).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clase/s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fuesen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canceladas o retrasadas en caso de una profunda interrupción o alteración eventual no prevista o de importantes eventos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circunstancias imprevistas, profesor usará el foro o enviar a email a los alumnos con instrucciones actualizadas tan pronto como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sea posible.</w:t>
            </w:r>
          </w:p>
          <w:p>
            <w:pPr>
              <w:pStyle w:val="TableParagraph"/>
              <w:spacing w:line="312" w:lineRule="auto" w:before="10"/>
              <w:ind w:left="100" w:right="72"/>
              <w:jc w:val="both"/>
              <w:rPr>
                <w:sz w:val="18"/>
              </w:rPr>
            </w:pPr>
            <w:r>
              <w:rPr>
                <w:sz w:val="18"/>
              </w:rPr>
              <w:t>De los estudiantes se espera tener una actividad participativa en la clase a lo largo del curso y contribuir a la calidad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discusión. Se espera que todo el mundo esté bien preparado para cada clase y dispuesto a responder preguntas, Y más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importante aún, Que vuestros puntos de vista sean relevantes en la discusión y que muestren evidencias de análisis, de si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alumnos están dispuestos a testar nuevas ideas (en contraposición de mantenerse en entornos seguros en los que los hechos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pueden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determinarse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predecir),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generalmente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sí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han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suficiente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tiempo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energía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entender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curso,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además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capaz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respetar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siempre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demás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cualquiera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vista.</w:t>
            </w:r>
          </w:p>
          <w:p>
            <w:pPr>
              <w:pStyle w:val="TableParagraph"/>
              <w:spacing w:line="312" w:lineRule="auto" w:before="5"/>
              <w:ind w:left="100" w:right="76"/>
              <w:jc w:val="both"/>
              <w:rPr>
                <w:sz w:val="18"/>
              </w:rPr>
            </w:pPr>
            <w:r>
              <w:rPr>
                <w:sz w:val="18"/>
              </w:rPr>
              <w:t>La evaluación de cualquier cuestión o pregunta, lectura o trabajo Implica no sólo comprobar la correcta lógica de raciocinio, sino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también la evaluación de la amplitud de la cobertura, orden la presentación y en general la calidad de la escritura y/o tarea.</w:t>
            </w:r>
          </w:p>
          <w:p>
            <w:pPr>
              <w:pStyle w:val="TableParagraph"/>
              <w:spacing w:line="312" w:lineRule="auto" w:before="2"/>
              <w:ind w:left="100" w:right="54"/>
              <w:jc w:val="both"/>
              <w:rPr>
                <w:sz w:val="18"/>
              </w:rPr>
            </w:pPr>
            <w:r>
              <w:rPr>
                <w:sz w:val="18"/>
              </w:rPr>
              <w:t>Con carácter general, la suma de las actividades no reevaluables no podrá superar el 50% de la nota de la asignatura y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podrán tener nota mínima. No será de aplicación este criterio en el caso de las prácticas de laboratorio o prácticas clínicas,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cuando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esté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debidamente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justificado.</w:t>
            </w:r>
          </w:p>
          <w:p>
            <w:pPr>
              <w:pStyle w:val="TableParagraph"/>
              <w:spacing w:before="3"/>
              <w:ind w:lef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Segunda Evaluación: Evaluación extraordinaria</w:t>
            </w:r>
          </w:p>
          <w:p>
            <w:pPr>
              <w:pStyle w:val="TableParagraph"/>
              <w:spacing w:line="312" w:lineRule="auto" w:before="63"/>
              <w:ind w:left="100" w:right="75"/>
              <w:jc w:val="both"/>
              <w:rPr>
                <w:sz w:val="18"/>
              </w:rPr>
            </w:pPr>
            <w:r>
              <w:rPr>
                <w:sz w:val="18"/>
              </w:rPr>
              <w:t>Los alumnos que no consigan superar la evaluación ordinaria, o no se hayan presentado, serán objeto de la realización de una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evaluación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extraordinaria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verificar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adquisición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competencias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establecidas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guía.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2736" id="docshape13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.5pt;margin-top:532.710022pt;width:514.5pt;height:254.15pt;mso-position-horizontal-relative:page;mso-position-vertical-relative:page;z-index:15733248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5"/>
                    <w:gridCol w:w="2565"/>
                    <w:gridCol w:w="2565"/>
                    <w:gridCol w:w="256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256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Criterio</w:t>
                        </w:r>
                      </w:p>
                    </w:tc>
                    <w:tc>
                      <w:tcPr>
                        <w:tcW w:w="256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Ponderación</w:t>
                        </w:r>
                      </w:p>
                    </w:tc>
                    <w:tc>
                      <w:tcPr>
                        <w:tcW w:w="256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Fecha</w:t>
                        </w:r>
                      </w:p>
                    </w:tc>
                    <w:tc>
                      <w:tcPr>
                        <w:tcW w:w="256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Temas/Contenido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256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pacing w:val="17"/>
                            <w:sz w:val="18"/>
                          </w:rPr>
                          <w:t>Actividades </w:t>
                        </w:r>
                        <w:r>
                          <w:rPr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spacing w:val="16"/>
                            <w:sz w:val="18"/>
                          </w:rPr>
                          <w:t>prácticas </w:t>
                        </w:r>
                        <w:r>
                          <w:rPr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256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 50%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Mínimo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sobre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(Parte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1)</w:t>
                        </w:r>
                      </w:p>
                    </w:tc>
                    <w:tc>
                      <w:tcPr>
                        <w:tcW w:w="256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teóricas</w:t>
                        </w:r>
                        <w:r>
                          <w:rPr>
                            <w:spacing w:val="6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dentro</w:t>
                        </w:r>
                        <w:r>
                          <w:rPr>
                            <w:spacing w:val="6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6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fuera</w:t>
                        </w:r>
                        <w:r>
                          <w:rPr>
                            <w:spacing w:val="6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aula: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•Realización</w:t>
                        </w:r>
                        <w:r>
                          <w:rPr>
                            <w:spacing w:val="8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8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defensa</w:t>
                        </w:r>
                        <w:r>
                          <w:rPr>
                            <w:spacing w:val="8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pacing w:val="13"/>
                            <w:sz w:val="18"/>
                          </w:rPr>
                          <w:t>trabajos</w:t>
                        </w:r>
                        <w:r>
                          <w:rPr>
                            <w:spacing w:val="72"/>
                            <w:sz w:val="18"/>
                          </w:rPr>
                          <w:t> </w:t>
                        </w:r>
                        <w:r>
                          <w:rPr>
                            <w:spacing w:val="13"/>
                            <w:sz w:val="18"/>
                          </w:rPr>
                          <w:t>individuales</w:t>
                        </w:r>
                        <w:r>
                          <w:rPr>
                            <w:spacing w:val="72"/>
                            <w:sz w:val="18"/>
                          </w:rPr>
                          <w:t> </w:t>
                        </w:r>
                        <w:r>
                          <w:rPr>
                            <w:spacing w:val="15"/>
                            <w:sz w:val="18"/>
                          </w:rPr>
                          <w:t>y/o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 lo largo del cuatrimestre.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pacing w:val="15"/>
                            <w:sz w:val="18"/>
                          </w:rPr>
                          <w:t>grupo.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spacing w:val="13"/>
                            <w:sz w:val="18"/>
                          </w:rPr>
                          <w:t>reevaluación </w:t>
                        </w:r>
                        <w:r>
                          <w:rPr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spacing w:val="15"/>
                            <w:sz w:val="18"/>
                          </w:rPr>
                          <w:t>esta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•Resolución casos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parte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6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66"/>
                            <w:sz w:val="18"/>
                          </w:rPr>
                          <w:t> </w:t>
                        </w:r>
                        <w:r>
                          <w:rPr>
                            <w:spacing w:val="9"/>
                            <w:sz w:val="18"/>
                          </w:rPr>
                          <w:t>asignatura</w:t>
                        </w:r>
                        <w:r>
                          <w:rPr>
                            <w:spacing w:val="66"/>
                            <w:sz w:val="18"/>
                          </w:rPr>
                          <w:t> </w:t>
                        </w:r>
                        <w:r>
                          <w:rPr>
                            <w:spacing w:val="11"/>
                            <w:sz w:val="18"/>
                          </w:rPr>
                          <w:t>se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Desglose de la Parte 1 (50%)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•Ejercicios y análisis de datos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realizará</w:t>
                        </w:r>
                        <w:r>
                          <w:rPr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4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4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4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criterio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Parte teórica = 20%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pacing w:val="20"/>
                            <w:sz w:val="18"/>
                          </w:rPr>
                          <w:t>•Debates, </w:t>
                        </w:r>
                        <w:r>
                          <w:rPr>
                            <w:spacing w:val="39"/>
                            <w:sz w:val="18"/>
                          </w:rPr>
                          <w:t> </w:t>
                        </w:r>
                        <w:r>
                          <w:rPr>
                            <w:spacing w:val="20"/>
                            <w:sz w:val="18"/>
                          </w:rPr>
                          <w:t>preguntas </w:t>
                        </w:r>
                        <w:r>
                          <w:rPr>
                            <w:spacing w:val="3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marcado</w:t>
                        </w:r>
                        <w:r>
                          <w:rPr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por</w:t>
                        </w:r>
                        <w:r>
                          <w:rPr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cada</w:t>
                        </w:r>
                        <w:r>
                          <w:rPr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profesor,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Parte práctica = 30 %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comentarios</w:t>
                        </w:r>
                        <w:r>
                          <w:rPr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lecturas</w:t>
                        </w:r>
                        <w:r>
                          <w:rPr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y/o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65" w:val="left" w:leader="none"/>
                            <w:tab w:pos="971" w:val="left" w:leader="none"/>
                          </w:tabs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pacing w:val="19"/>
                            <w:sz w:val="18"/>
                          </w:rPr>
                          <w:t>en</w:t>
                          <w:tab/>
                          <w:t>la</w:t>
                          <w:tab/>
                        </w:r>
                        <w:r>
                          <w:rPr>
                            <w:spacing w:val="35"/>
                            <w:sz w:val="18"/>
                          </w:rPr>
                          <w:t>Convocatoria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videos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pacing w:val="36"/>
                            <w:sz w:val="18"/>
                          </w:rPr>
                          <w:t>Extraordinaria.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•Pruebas escritas de refuerzo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 asimilación de conceptos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•Otras</w:t>
                        </w:r>
                        <w:r>
                          <w:rPr>
                            <w:spacing w:val="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establezca</w:t>
                        </w:r>
                        <w:r>
                          <w:rPr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cada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profesor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criterio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256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características</w:t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header="0" w:footer="261" w:top="1380" w:bottom="460" w:left="180" w:right="580"/>
        </w:sect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14744" w:hRule="atLeast"/>
        </w:trPr>
        <w:tc>
          <w:tcPr>
            <w:tcW w:w="1046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1" w:val="left" w:leader="none"/>
              </w:tabs>
              <w:spacing w:line="312" w:lineRule="auto" w:before="0" w:after="0"/>
              <w:ind w:left="100" w:right="70" w:firstLine="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Cada profesor seleccionará las pruebas prácticas </w:t>
            </w:r>
            <w:r>
              <w:rPr>
                <w:sz w:val="18"/>
              </w:rPr>
              <w:t>y su teoría (Parte 1) </w:t>
            </w:r>
            <w:r>
              <w:rPr>
                <w:b/>
                <w:sz w:val="18"/>
              </w:rPr>
              <w:t>a realizar, en base a su criterio y a las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características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cada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grupo,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tanto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largo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cuatrimestre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como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reevaluación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Convocatoria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Extraordinaria.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preciso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menos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obtenga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este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concepto,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superar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asignatura.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3" w:val="left" w:leader="none"/>
              </w:tabs>
              <w:spacing w:line="312" w:lineRule="auto" w:before="3" w:after="0"/>
              <w:ind w:left="100" w:right="74" w:firstLine="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Cada profesor seleccionará el tipo de preguntas a incluir en el examen escrito </w:t>
            </w:r>
            <w:r>
              <w:rPr>
                <w:sz w:val="18"/>
              </w:rPr>
              <w:t>(Parte 2)</w:t>
            </w:r>
            <w:r>
              <w:rPr>
                <w:b/>
                <w:sz w:val="18"/>
              </w:rPr>
              <w:t>, en base a su criterio y a las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características de cada grupo, tanto en el examen de final de cuatrimestre (Convocatoria Ordinaria) siempre que tenga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cabida en modalidad online, como en la reevaluación de la Convocatoria Extraordinaria</w:t>
            </w:r>
            <w:r>
              <w:rPr>
                <w:sz w:val="18"/>
              </w:rPr>
              <w:t>. El examen escrito tiene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carácter obligatorio y reflejará los conocimientos mínimos exigidos que permitirá evaluar la asimilación y comprensión de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fundamentos teóricos y prácticos de la asignatura. Es preciso que al menos se obtenga un 5 sobre 10 por este concepto,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superar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asignatura.</w:t>
            </w:r>
          </w:p>
          <w:p>
            <w:pPr>
              <w:pStyle w:val="TableParagraph"/>
              <w:spacing w:before="5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Importante:</w:t>
            </w:r>
          </w:p>
          <w:p>
            <w:pPr>
              <w:pStyle w:val="TableParagraph"/>
              <w:spacing w:line="312" w:lineRule="auto" w:before="63"/>
              <w:ind w:left="100" w:right="7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•En el caso de que se apruebe una parte de la asignatura (Parte 1 o Parte 2), pero se suspenda la otra parte, y por lo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tanto la asignatura estará suspensa, no se calculará la media ponderada de las calificaciones entre ambas partes, sino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acta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figurará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calificación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parte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evaluada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(Parte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Parte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2)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ha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superado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5.</w:t>
            </w:r>
          </w:p>
          <w:p>
            <w:pPr>
              <w:pStyle w:val="TableParagraph"/>
              <w:spacing w:line="312" w:lineRule="auto" w:before="3"/>
              <w:ind w:left="100" w:right="71"/>
              <w:jc w:val="both"/>
              <w:rPr>
                <w:sz w:val="18"/>
              </w:rPr>
            </w:pPr>
            <w:r>
              <w:rPr>
                <w:sz w:val="18"/>
              </w:rPr>
              <w:t>* La/s evaluacion/es sera/n presencial/es salvo que por interrupción o alteración eventual no prevista o de importantes eventos 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circunstancias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imprevistas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impidan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nueva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realización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pruebas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evaluatorias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online.</w:t>
            </w:r>
          </w:p>
          <w:p>
            <w:pPr>
              <w:pStyle w:val="TableParagraph"/>
              <w:spacing w:before="3"/>
              <w:ind w:lef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En la reevaluación de la Convocatoria Extraordinaria:</w:t>
            </w:r>
          </w:p>
          <w:p>
            <w:pPr>
              <w:pStyle w:val="TableParagraph"/>
              <w:spacing w:line="312" w:lineRule="auto" w:before="63"/>
              <w:ind w:left="100" w:right="70"/>
              <w:jc w:val="both"/>
              <w:rPr>
                <w:sz w:val="18"/>
              </w:rPr>
            </w:pPr>
            <w:r>
              <w:rPr>
                <w:sz w:val="18"/>
              </w:rPr>
              <w:t>A los alumnos que superen las prácticas y su teoría durante el curso (Parte 1)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(50% de la puntuación), pero no superen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examen escrito de conocimientos en modalidad online de la Convocatoria Ordinaria (Parte 2) (que tiene también un 50%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puntuación),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guardarán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calificaciones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dichas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examen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escrito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reevaluación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Convocatoria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Extraordinaria.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320" w:lineRule="atLeast" w:before="1"/>
              <w:ind w:left="100" w:right="374"/>
              <w:rPr>
                <w:sz w:val="18"/>
              </w:rPr>
            </w:pPr>
            <w:r>
              <w:rPr>
                <w:sz w:val="18"/>
              </w:rPr>
              <w:t>A los alumnos que no superen las prácticas y su teoría durante el curso (Parte 2), se les podrá reevaluar en la Convocatoria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Extraordinaria, mediante la realización de las actividades que establezca cada profesor. En este caso, y suponiendo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hubieran superado el examen escrito de conocimientos en modalidad online de la Convocatoria Ordinaria, se les guardará 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nota obtenida en dicho examen hasta que se realice la reevaluación de Convocatoria Extraordinaria de las citadas prácticas.</w:t>
            </w:r>
          </w:p>
          <w:p>
            <w:pPr>
              <w:pStyle w:val="TableParagraph"/>
              <w:spacing w:line="312" w:lineRule="auto" w:before="63"/>
              <w:ind w:left="100" w:right="72"/>
              <w:jc w:val="both"/>
              <w:rPr>
                <w:sz w:val="18"/>
              </w:rPr>
            </w:pPr>
            <w:r>
              <w:rPr>
                <w:sz w:val="18"/>
              </w:rPr>
              <w:t>En cualquier caso, se deberá tener en cuenta que la reevaluación de Convocatoria Extraordinaria solamente podrá realizarse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aquellas pruebas (prácticas y/o escrita de conocimientos Parte 1 o Parte 2) que en la Convocatoria Ordinaria se hayan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suspendido, por lo que en ningún caso se podrá solicitar dicha reevaluación con el objetivo de subir calificaciones de pruebas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Convocatoria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Ordinaria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hayan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sido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superiores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5.</w:t>
            </w:r>
          </w:p>
          <w:p>
            <w:pPr>
              <w:pStyle w:val="TableParagraph"/>
              <w:spacing w:line="312" w:lineRule="auto" w:before="3"/>
              <w:ind w:left="100" w:right="73"/>
              <w:jc w:val="both"/>
              <w:rPr>
                <w:sz w:val="18"/>
              </w:rPr>
            </w:pPr>
            <w:r>
              <w:rPr>
                <w:sz w:val="18"/>
              </w:rPr>
              <w:t>Los alumnos que no superen la asignatura en la convocatoria ordinaria la Parte 2 deberán reevaluarse sin excepción (también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 alumnos ERASMUS y asimilados) en las fechas oficiales de la convocatoria extraordinaria en presencial salvo que 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interrupción o alteración eventual no prevista o de importantes eventos o circunstancias imprevistas que impidan el normal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Universidad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requiera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nueva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política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realización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pruebas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evaluatorias.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0.5pt;margin-top:74.5pt;width:514.5pt;height:255.85pt;mso-position-horizontal-relative:page;mso-position-vertical-relative:page;z-index:15733760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5"/>
                    <w:gridCol w:w="2565"/>
                    <w:gridCol w:w="2565"/>
                    <w:gridCol w:w="2565"/>
                  </w:tblGrid>
                  <w:tr>
                    <w:trPr>
                      <w:trHeight w:val="5077" w:hRule="atLeast"/>
                    </w:trPr>
                    <w:tc>
                      <w:tcPr>
                        <w:tcW w:w="25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 w:before="121"/>
                          <w:ind w:left="100" w:right="3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34"/>
                            <w:sz w:val="18"/>
                          </w:rPr>
                          <w:t>Examen</w:t>
                        </w:r>
                        <w:r>
                          <w:rPr>
                            <w:spacing w:val="35"/>
                            <w:sz w:val="18"/>
                          </w:rPr>
                          <w:t> escrito</w:t>
                        </w:r>
                        <w:r>
                          <w:rPr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spacing w:val="20"/>
                            <w:sz w:val="18"/>
                          </w:rPr>
                          <w:t>de</w:t>
                        </w:r>
                        <w:r>
                          <w:rPr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spacing w:val="38"/>
                            <w:sz w:val="18"/>
                          </w:rPr>
                          <w:t>conocimientos: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3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32"/>
                            <w:sz w:val="18"/>
                          </w:rPr>
                          <w:t>Preguntas  </w:t>
                        </w:r>
                        <w:r>
                          <w:rPr>
                            <w:spacing w:val="27"/>
                            <w:sz w:val="18"/>
                          </w:rPr>
                          <w:t>tipo  test</w:t>
                        </w:r>
                        <w:r>
                          <w:rPr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y/o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11"/>
                            <w:sz w:val="18"/>
                          </w:rPr>
                          <w:t>preguntas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pacing w:val="10"/>
                            <w:sz w:val="18"/>
                          </w:rPr>
                          <w:t>cortas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pacing w:val="13"/>
                            <w:sz w:val="18"/>
                          </w:rPr>
                          <w:t>y/o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pacing w:val="15"/>
                            <w:sz w:val="18"/>
                          </w:rPr>
                          <w:t>preguntas</w:t>
                        </w:r>
                        <w:r>
                          <w:rPr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15"/>
                            <w:sz w:val="18"/>
                          </w:rPr>
                          <w:t>desarrollo</w:t>
                        </w:r>
                        <w:r>
                          <w:rPr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establezca cada profesor en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12"/>
                            <w:sz w:val="18"/>
                          </w:rPr>
                          <w:t>base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14"/>
                            <w:sz w:val="18"/>
                          </w:rPr>
                          <w:t>criterio</w:t>
                        </w:r>
                        <w:r>
                          <w:rPr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10"/>
                            <w:sz w:val="18"/>
                          </w:rPr>
                          <w:t>las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características de cada grupo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y/o circunstancias</w:t>
                        </w:r>
                      </w:p>
                    </w:tc>
                    <w:tc>
                      <w:tcPr>
                        <w:tcW w:w="25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 50%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Mínimo</w:t>
                        </w:r>
                        <w:r>
                          <w:rPr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sobre</w:t>
                        </w:r>
                        <w:r>
                          <w:rPr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(Parte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2)</w:t>
                        </w:r>
                      </w:p>
                    </w:tc>
                    <w:tc>
                      <w:tcPr>
                        <w:tcW w:w="256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354" w:val="left" w:leader="none"/>
                          </w:tabs>
                          <w:spacing w:line="312" w:lineRule="auto"/>
                          <w:ind w:left="100" w:right="28"/>
                          <w:jc w:val="both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pacing w:val="16"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i/>
                            <w:spacing w:val="8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16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8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30"/>
                            <w:sz w:val="18"/>
                          </w:rPr>
                          <w:t>Convocatoria</w:t>
                        </w:r>
                        <w:r>
                          <w:rPr>
                            <w:b/>
                            <w:i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Ordinaria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tendrá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lugar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al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final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cuatrimestre,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21"/>
                            <w:sz w:val="18"/>
                          </w:rPr>
                          <w:t>modalidad  presencial</w:t>
                        </w:r>
                        <w:r>
                          <w:rPr>
                            <w:b/>
                            <w:i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i/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17"/>
                            <w:sz w:val="18"/>
                          </w:rPr>
                          <w:t>online*  </w:t>
                        </w:r>
                        <w:r>
                          <w:rPr>
                            <w:b/>
                            <w:i/>
                            <w:spacing w:val="13"/>
                            <w:sz w:val="18"/>
                          </w:rPr>
                          <w:t>(en  </w:t>
                        </w:r>
                        <w:r>
                          <w:rPr>
                            <w:b/>
                            <w:i/>
                            <w:spacing w:val="15"/>
                            <w:sz w:val="18"/>
                          </w:rPr>
                          <w:t>caso  </w:t>
                        </w:r>
                        <w:r>
                          <w:rPr>
                            <w:b/>
                            <w:i/>
                            <w:spacing w:val="1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i/>
                            <w:spacing w:val="6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6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i/>
                            <w:spacing w:val="6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i/>
                            <w:spacing w:val="6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i/>
                            <w:spacing w:val="6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i/>
                            <w:spacing w:val="6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i/>
                            <w:spacing w:val="6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</w:t>
                          <w:tab/>
                          <w:t>o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28"/>
                            <w:sz w:val="18"/>
                          </w:rPr>
                          <w:t>similares </w:t>
                        </w:r>
                        <w:r>
                          <w:rPr>
                            <w:b/>
                            <w:i/>
                            <w:spacing w:val="26"/>
                            <w:sz w:val="18"/>
                          </w:rPr>
                          <w:t>causas</w:t>
                        </w:r>
                        <w:r>
                          <w:rPr>
                            <w:b/>
                            <w:i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16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40"/>
                            <w:sz w:val="18"/>
                          </w:rPr>
                          <w:t>extrema</w:t>
                        </w:r>
                        <w:r>
                          <w:rPr>
                            <w:b/>
                            <w:i/>
                            <w:spacing w:val="41"/>
                            <w:sz w:val="18"/>
                          </w:rPr>
                          <w:t> gravedad</w:t>
                        </w:r>
                        <w:r>
                          <w:rPr>
                            <w:b/>
                            <w:i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42"/>
                            <w:sz w:val="18"/>
                          </w:rPr>
                          <w:t>decretada</w:t>
                        </w:r>
                        <w:r>
                          <w:rPr>
                            <w:b/>
                            <w:i/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32"/>
                            <w:sz w:val="18"/>
                          </w:rPr>
                          <w:t>por</w:t>
                        </w:r>
                        <w:r>
                          <w:rPr>
                            <w:b/>
                            <w:i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24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Universidad), y en la fecha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15"/>
                            <w:sz w:val="18"/>
                          </w:rPr>
                          <w:t>oficial</w:t>
                        </w:r>
                        <w:r>
                          <w:rPr>
                            <w:b/>
                            <w:i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15"/>
                            <w:sz w:val="18"/>
                          </w:rPr>
                          <w:t>marcada</w:t>
                        </w:r>
                        <w:r>
                          <w:rPr>
                            <w:b/>
                            <w:i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12"/>
                            <w:sz w:val="18"/>
                          </w:rPr>
                          <w:t>por</w:t>
                        </w:r>
                        <w:r>
                          <w:rPr>
                            <w:b/>
                            <w:i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16"/>
                            <w:sz w:val="18"/>
                          </w:rPr>
                          <w:t>Universidad</w:t>
                        </w:r>
                        <w:r>
                          <w:rPr>
                            <w:b/>
                            <w:i/>
                            <w:spacing w:val="-32"/>
                            <w:sz w:val="18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312" w:lineRule="auto" w:before="11"/>
                          <w:ind w:left="100" w:right="3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 reevaluación, en su caso,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32"/>
                            <w:sz w:val="18"/>
                          </w:rPr>
                          <w:t>tendrá</w:t>
                        </w:r>
                        <w:r>
                          <w:rPr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spacing w:val="31"/>
                            <w:sz w:val="18"/>
                          </w:rPr>
                          <w:t>lugar</w:t>
                        </w:r>
                        <w:r>
                          <w:rPr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spacing w:val="19"/>
                            <w:sz w:val="18"/>
                          </w:rPr>
                          <w:t>en</w:t>
                        </w:r>
                        <w:r>
                          <w:rPr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spacing w:val="19"/>
                            <w:sz w:val="18"/>
                          </w:rPr>
                          <w:t>la</w:t>
                        </w:r>
                        <w:r>
                          <w:rPr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Convocatoria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Extraordinaria,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fecha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oficial</w:t>
                        </w:r>
                        <w:r>
                          <w:rPr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marcada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por</w:t>
                        </w:r>
                        <w:r>
                          <w:rPr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Universidad</w:t>
                        </w:r>
                      </w:p>
                    </w:tc>
                    <w:tc>
                      <w:tcPr>
                        <w:tcW w:w="25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 w:before="146"/>
                          <w:ind w:left="100" w:right="5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Totalidad del programa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Parte teórica = 50%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61" w:top="1380" w:bottom="520" w:left="180" w:right="580"/>
        </w:sect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funcionamiento de la Universidad que requiera una nueva política de realización de las pruebas evaluatorias.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VII.B.-Evaluación de estudiantes con dispensa académica de asistencia a clase</w:t>
            </w:r>
          </w:p>
        </w:tc>
      </w:tr>
      <w:tr>
        <w:trPr>
          <w:trHeight w:val="220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71"/>
              <w:jc w:val="both"/>
              <w:rPr>
                <w:sz w:val="18"/>
              </w:rPr>
            </w:pPr>
            <w:r>
              <w:rPr>
                <w:sz w:val="18"/>
              </w:rPr>
              <w:t>Para que un alumno pueda optar a esta evaluación, tendrá que obtener la 'Dispensa Académica de asistencia a clase' para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asignatura, que habrá solicitado al Decano/a o Director/a del Centro que imparte su titulación. La Dispensa Académica se podrá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conceder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siempre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cuando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peculiaridades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propias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asignatura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lo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permitan.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vez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haya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notificado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concesión de la Dispensa Académica, el docente deberá informar al estudiante a través del Aula Virtual acerca del plan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evaluación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establecido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5"/>
              <w:ind w:left="100"/>
              <w:jc w:val="both"/>
              <w:rPr>
                <w:sz w:val="18"/>
              </w:rPr>
            </w:pPr>
            <w:r>
              <w:rPr>
                <w:sz w:val="18"/>
              </w:rPr>
              <w:t>Asignatura con posibilidad de dispensa: Si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VII.C.-Revisión de las pruebas de evaluación</w:t>
            </w:r>
          </w:p>
        </w:tc>
      </w:tr>
      <w:tr>
        <w:trPr>
          <w:trHeight w:val="477" w:hRule="atLeast"/>
        </w:trPr>
        <w:tc>
          <w:tcPr>
            <w:tcW w:w="10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Conforme a la normativa de reclamación de exámenes de la Universidad Rey Juan Carlos.</w:t>
            </w:r>
          </w:p>
        </w:tc>
      </w:tr>
      <w:tr>
        <w:trPr>
          <w:trHeight w:val="477" w:hRule="atLeast"/>
        </w:trPr>
        <w:tc>
          <w:tcPr>
            <w:tcW w:w="10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VII.D.-Estudiantes con discapacidad o necesidades educativas especiales</w:t>
            </w:r>
          </w:p>
        </w:tc>
      </w:tr>
      <w:tr>
        <w:trPr>
          <w:trHeight w:val="2097" w:hRule="atLeast"/>
        </w:trPr>
        <w:tc>
          <w:tcPr>
            <w:tcW w:w="10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72"/>
              <w:jc w:val="both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adaptaciones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curriculares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estudiantes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discapacidad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necesidades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educativas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especiales,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fin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garantizar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 igualdad de oportunidades, no discriminación, la accesibilidad universal y la mayor garantía de éxito académico serán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pautadas por la Unidad de Atención a Personas con Discapacidad en virtud de la Normativa que regula el servicio de Atención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Estudiantes con Discapacidad, aprobada por Consejo de Gobierno de la Universidad Rey Juan Carlos.</w:t>
            </w:r>
          </w:p>
          <w:p>
            <w:pPr>
              <w:pStyle w:val="TableParagraph"/>
              <w:spacing w:line="312" w:lineRule="auto" w:before="4"/>
              <w:ind w:left="100" w:right="72"/>
              <w:jc w:val="both"/>
              <w:rPr>
                <w:sz w:val="18"/>
              </w:rPr>
            </w:pPr>
            <w:r>
              <w:rPr>
                <w:sz w:val="18"/>
              </w:rPr>
              <w:t>Será requisito para ello la emisión de un informe de adaptaciones curriculares por parte de dicha Unidad, por lo que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estudiantes con discapacidad o necesidades educativas especiales deberán contactar con ella, a fin de analizar conjuntamente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distintas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alternativas.</w:t>
            </w:r>
          </w:p>
        </w:tc>
      </w:tr>
      <w:tr>
        <w:trPr>
          <w:trHeight w:val="477" w:hRule="atLeast"/>
        </w:trPr>
        <w:tc>
          <w:tcPr>
            <w:tcW w:w="10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VII.E.-Conducta Académica, integridad y honestidad académica</w:t>
            </w:r>
          </w:p>
        </w:tc>
      </w:tr>
      <w:tr>
        <w:trPr>
          <w:trHeight w:val="210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194"/>
              <w:rPr>
                <w:sz w:val="18"/>
              </w:rPr>
            </w:pPr>
            <w:r>
              <w:rPr>
                <w:sz w:val="18"/>
              </w:rPr>
              <w:t>La Universidad Rey Juan Carlos está plenamente comprometida con los más altos estándares de integridad y honestidad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académica, por lo que estudiar en la URJC supone asumir y suscribir los valores de integridad y la honestidad académica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recogidos en el </w:t>
            </w:r>
            <w:hyperlink r:id="rId7">
              <w:r>
                <w:rPr>
                  <w:sz w:val="18"/>
                </w:rPr>
                <w:t>Código Ético de la Universidad (https://www.urjc.es/codigoetico)</w:t>
              </w:r>
            </w:hyperlink>
            <w:r>
              <w:rPr>
                <w:sz w:val="18"/>
              </w:rPr>
              <w:t>. Para acompañar este proceso, la Universidad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dispone de la </w:t>
            </w:r>
            <w:hyperlink r:id="rId8">
              <w:r>
                <w:rPr>
                  <w:sz w:val="18"/>
                </w:rPr>
                <w:t>Normativa sobre conducta académica de la Universidad Rey Juan Carlos</w:t>
              </w:r>
            </w:hyperlink>
            <w:r>
              <w:rPr>
                <w:spacing w:val="1"/>
                <w:sz w:val="18"/>
              </w:rPr>
              <w:t> </w:t>
            </w:r>
            <w:hyperlink r:id="rId8">
              <w:r>
                <w:rPr>
                  <w:sz w:val="18"/>
                </w:rPr>
                <w:t>(https://urjc.es/images/Universidad/Presentacion/normativa/Normativa_conducta_academica_URJC.pdf)</w:t>
              </w:r>
            </w:hyperlink>
            <w:r>
              <w:rPr>
                <w:sz w:val="18"/>
              </w:rPr>
              <w:t> y de diferentes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herramientas (antiplagio, supervisión) que ofrecen una garantía colectiva para el completo desarrollo de estos valores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esenciales.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235520" from="41pt,228.229996pt" to="199.58pt,228.229996pt" stroked="true" strokeweight=".6pt" strokecolor="#000000">
            <v:stroke dashstyle="solid"/>
            <w10:wrap type="none"/>
          </v:line>
        </w:pict>
      </w:r>
      <w:r>
        <w:rPr/>
        <w:pict>
          <v:shape style="position:absolute;margin-left:487.220001pt;margin-top:812pt;width:73.8pt;height:17pt;mso-position-horizontal-relative:page;mso-position-vertical-relative:page;z-index:15734784" id="docshape16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61" w:top="1380" w:bottom="460" w:left="180" w:right="580"/>
        </w:sect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VIII.-Recursos y materiales didácticos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Bibliografía</w:t>
            </w:r>
          </w:p>
        </w:tc>
      </w:tr>
      <w:tr>
        <w:trPr>
          <w:trHeight w:val="75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94"/>
              <w:rPr>
                <w:sz w:val="18"/>
              </w:rPr>
            </w:pPr>
            <w:r>
              <w:rPr>
                <w:sz w:val="18"/>
              </w:rPr>
              <w:t>Bernal Turnes P and Ernst R (2015). A framework for transparency in international trade. Investigaciones Europeas de Dirección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y Economía de La Empresa 21(1): 1–8. Available at: https://doi.org/10.1016/j.iedee.2014.01.001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Comisión Europea. Cambio climático: lo que está haciendo la UE. </w:t>
            </w:r>
            <w:hyperlink r:id="rId9">
              <w:r>
                <w:rPr>
                  <w:sz w:val="18"/>
                </w:rPr>
                <w:t>https://www.consilium.europa.eu/es/policies/climate-change/</w:t>
              </w:r>
            </w:hyperlink>
          </w:p>
        </w:tc>
      </w:tr>
      <w:tr>
        <w:trPr>
          <w:trHeight w:val="477" w:hRule="atLeast"/>
        </w:trPr>
        <w:tc>
          <w:tcPr>
            <w:tcW w:w="10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Tecnicas y Practicas de Comercio Exterior. Paloma Bernal Turnes, Carmelo Mercado Idoeta. Ed.: Dykinson. Madrid, May 2006.</w:t>
            </w:r>
          </w:p>
        </w:tc>
      </w:tr>
      <w:tr>
        <w:trPr>
          <w:trHeight w:val="102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161"/>
              <w:rPr>
                <w:sz w:val="18"/>
              </w:rPr>
            </w:pPr>
            <w:r>
              <w:rPr>
                <w:sz w:val="18"/>
              </w:rPr>
              <w:t>World Development Report 2020: Trading for Development in the Age of Global Value Chains. World Bank, 2020.</w:t>
            </w:r>
            <w:r>
              <w:rPr>
                <w:spacing w:val="1"/>
                <w:sz w:val="18"/>
              </w:rPr>
              <w:t> </w:t>
            </w:r>
            <w:hyperlink r:id="rId10">
              <w:r>
                <w:rPr>
                  <w:spacing w:val="-1"/>
                  <w:sz w:val="18"/>
                </w:rPr>
                <w:t>https://www.worldbank.org/en/publication/wdr2020</w:t>
              </w:r>
            </w:hyperlink>
            <w:r>
              <w:rPr>
                <w:sz w:val="18"/>
              </w:rPr>
              <w:t> </w:t>
            </w:r>
            <w:hyperlink r:id="rId11">
              <w:r>
                <w:rPr>
                  <w:sz w:val="18"/>
                </w:rPr>
                <w:t>http://pubdocs.worldbank.org/en/124681548175938170/World-Development-</w:t>
              </w:r>
            </w:hyperlink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Report-2020-Draft-Report.pdf</w:t>
            </w:r>
          </w:p>
        </w:tc>
      </w:tr>
      <w:tr>
        <w:trPr>
          <w:trHeight w:val="75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World Development Report 2022: Finance for Equitable Recovery. World Bank,</w:t>
            </w:r>
          </w:p>
          <w:p>
            <w:pPr>
              <w:pStyle w:val="TableParagraph"/>
              <w:spacing w:before="63"/>
              <w:ind w:left="100"/>
              <w:rPr>
                <w:sz w:val="18"/>
              </w:rPr>
            </w:pPr>
            <w:r>
              <w:rPr>
                <w:sz w:val="18"/>
              </w:rPr>
              <w:t>2022. https://openknowledge.worldbank.org/bitstream/handle/10986/36883/9781464817304.pdf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Cateora, Philip R. 2006. MARKETING NTERNACIONAL. MCGRAW-HILL EDUCATION</w:t>
            </w:r>
          </w:p>
        </w:tc>
      </w:tr>
      <w:tr>
        <w:trPr>
          <w:trHeight w:val="102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85"/>
              <w:rPr>
                <w:sz w:val="18"/>
              </w:rPr>
            </w:pPr>
            <w:r>
              <w:rPr>
                <w:sz w:val="18"/>
              </w:rPr>
              <w:t>World Bank Group; IDE-JETRO; OECD; UIBE; World Trade Organization. 2017. Global Value Chain Development Report 2017 :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Measuring and Analyzing the Impact of GVCs on Economic Development. Washington, DC: World</w:t>
            </w:r>
          </w:p>
          <w:p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Bank. https://openknowledge.worldbank.org/handle/10986/29593 License: CC BY 3.0 IGO.</w:t>
            </w:r>
          </w:p>
        </w:tc>
      </w:tr>
      <w:tr>
        <w:trPr>
          <w:trHeight w:val="129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372"/>
              <w:rPr>
                <w:sz w:val="18"/>
              </w:rPr>
            </w:pPr>
            <w:r>
              <w:rPr>
                <w:sz w:val="18"/>
              </w:rPr>
              <w:t>Alvaro Espitia, Nadia Rocha, Michele Ruta2. Covid-19 and Food Protectionism1. The Impact of the Pandemic and Export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Restrictions on World Food Markets. World Bank 2020.</w:t>
            </w:r>
            <w:r>
              <w:rPr>
                <w:spacing w:val="1"/>
                <w:sz w:val="18"/>
              </w:rPr>
              <w:t> </w:t>
            </w:r>
            <w:hyperlink r:id="rId12">
              <w:r>
                <w:rPr>
                  <w:sz w:val="18"/>
                </w:rPr>
                <w:t>http://documents1.worldbank.org/curated/en/417171589912076742/pdf/Covid-19-and-Food-Protectionism-The-Impact-of-the-</w:t>
              </w:r>
            </w:hyperlink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Pandemic-and-Export-Restrictions-on-World-Food-Markets.pdf</w:t>
            </w:r>
          </w:p>
        </w:tc>
      </w:tr>
      <w:tr>
        <w:trPr>
          <w:trHeight w:val="102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362"/>
              <w:rPr>
                <w:sz w:val="18"/>
              </w:rPr>
            </w:pPr>
            <w:r>
              <w:rPr>
                <w:sz w:val="18"/>
              </w:rPr>
              <w:t>Trade and COVID-19 Guidance Note. Do’s and Don’ts of Trade Policy in the Response to COVID-19. World Bank 2020.</w:t>
            </w:r>
            <w:r>
              <w:rPr>
                <w:spacing w:val="1"/>
                <w:sz w:val="18"/>
              </w:rPr>
              <w:t> </w:t>
            </w:r>
            <w:hyperlink r:id="rId13">
              <w:r>
                <w:rPr>
                  <w:sz w:val="18"/>
                </w:rPr>
                <w:t>http://documents1.worldbank.org/curated/en/509521585605825305/pdf/Do-s-and-Don-ts-of-Trade-Policy-in-the-Response-to-</w:t>
              </w:r>
            </w:hyperlink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COVID-19.pdf</w:t>
            </w:r>
          </w:p>
        </w:tc>
      </w:tr>
      <w:tr>
        <w:trPr>
          <w:trHeight w:val="156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646"/>
              <w:rPr>
                <w:sz w:val="18"/>
              </w:rPr>
            </w:pPr>
            <w:r>
              <w:rPr>
                <w:sz w:val="18"/>
              </w:rPr>
              <w:t>Cordula Rastogi and Jean-Francois Arvis. Trade and COVID-19 Guidance Note. LOGISTICS AND FREIGHT SERVICES: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POLICIES TO FACILITATE TRADE. World Bank 2020.</w:t>
            </w:r>
          </w:p>
          <w:p>
            <w:pPr>
              <w:pStyle w:val="TableParagraph"/>
              <w:spacing w:line="312" w:lineRule="auto" w:before="2"/>
              <w:ind w:left="100" w:right="181"/>
              <w:rPr>
                <w:sz w:val="18"/>
              </w:rPr>
            </w:pPr>
            <w:r>
              <w:rPr>
                <w:sz w:val="18"/>
              </w:rPr>
              <w:t>Nota de Orientacion sobre el Comercio y el COVID-19. Gestion de riesgos y facilitacion del comercio en la pandemia COVID-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191 World Bank 2020. </w:t>
            </w:r>
            <w:hyperlink r:id="rId14">
              <w:r>
                <w:rPr>
                  <w:sz w:val="18"/>
                </w:rPr>
                <w:t>http://documents1.worldbank.org/curated/en/430231587377960726/pdf/Trade-and-COVID-19-Guidance-</w:t>
              </w:r>
            </w:hyperlink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Note-Managing-Risk-and-Facilitating-Trade-in-the-COVID-19-Pandemic.pdf</w:t>
            </w:r>
          </w:p>
        </w:tc>
      </w:tr>
      <w:tr>
        <w:trPr>
          <w:trHeight w:val="129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1345"/>
              <w:rPr>
                <w:sz w:val="18"/>
              </w:rPr>
            </w:pPr>
            <w:r>
              <w:rPr>
                <w:sz w:val="18"/>
              </w:rPr>
              <w:t>Christoph Ungerer, Alberto Portugal, Martin Molinuevo and Natasha Rovo. Trade and COVID-19 Guidance Note.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RECOMMENDATIONS TO LEVERAGE E-COMMERCE DURING THE COVID-19 CRISIS. World Bank 2020.</w:t>
            </w:r>
          </w:p>
          <w:p>
            <w:pPr>
              <w:pStyle w:val="TableParagraph"/>
              <w:spacing w:line="312" w:lineRule="auto" w:before="2"/>
              <w:ind w:left="100" w:right="332"/>
              <w:rPr>
                <w:sz w:val="18"/>
              </w:rPr>
            </w:pPr>
            <w:hyperlink r:id="rId15">
              <w:r>
                <w:rPr>
                  <w:sz w:val="18"/>
                </w:rPr>
                <w:t>http://documents1.worldbank.org/curated/en/280651589394091402/pdf/Recommendations-to-Leverage-E-Commerce-During-</w:t>
              </w:r>
            </w:hyperlink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the-COVID-19-Crisis.pdf</w:t>
            </w:r>
          </w:p>
        </w:tc>
      </w:tr>
      <w:tr>
        <w:trPr>
          <w:trHeight w:val="1017" w:hRule="atLeast"/>
        </w:trPr>
        <w:tc>
          <w:tcPr>
            <w:tcW w:w="10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91"/>
              <w:rPr>
                <w:sz w:val="18"/>
              </w:rPr>
            </w:pPr>
            <w:r>
              <w:rPr>
                <w:sz w:val="18"/>
              </w:rPr>
              <w:t>Trade and COVID-19 Guidance Note Trade Facilitation Best Practices Implemented in Response to the COVID-19 Pandemic.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World Bank 2020. </w:t>
            </w:r>
            <w:hyperlink r:id="rId16">
              <w:r>
                <w:rPr>
                  <w:sz w:val="18"/>
                </w:rPr>
                <w:t>http://documents1.worldbank.org/curated/en/824081587487261551/pdf/Trade-and-COVID-19-Guidance-Note-</w:t>
              </w:r>
            </w:hyperlink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Trade-Facilitation-Best-Practices-Implemented-in-Response-to-the-COVID-19-Pandemic.pdf</w:t>
            </w:r>
          </w:p>
        </w:tc>
      </w:tr>
      <w:tr>
        <w:trPr>
          <w:trHeight w:val="747" w:hRule="atLeast"/>
        </w:trPr>
        <w:tc>
          <w:tcPr>
            <w:tcW w:w="10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825"/>
              <w:rPr>
                <w:sz w:val="18"/>
              </w:rPr>
            </w:pPr>
            <w:r>
              <w:rPr>
                <w:sz w:val="18"/>
              </w:rPr>
              <w:t>Taglioni, Daria; Winkler, Deborah. 2016. Making Global Value Chains Work for Development. Trade and Development;.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Washington, DC: World Bank. https://openknowledge.worldbank.org/handle/10986/24426 License: CC BY 3.0 IGO.</w:t>
            </w:r>
          </w:p>
        </w:tc>
      </w:tr>
      <w:tr>
        <w:trPr>
          <w:trHeight w:val="102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173"/>
              <w:rPr>
                <w:sz w:val="18"/>
              </w:rPr>
            </w:pPr>
            <w:r>
              <w:rPr>
                <w:sz w:val="18"/>
              </w:rPr>
              <w:t>Victoria Nuguer y Andrew Powell Politicas para combatir la pandemia. IADB, 2020.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https://publications.iadb.org/publications/spanish/document/Informe_macroeconomico_de_America_Latina_y_el_Caribe_2020_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Pol%C3%ADticas_para_combatir_la_pandemia.pdf.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5296" id="docshape17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header="0" w:footer="261" w:top="1380" w:bottom="876" w:left="180" w:right="580"/>
        </w:sect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Dunning, J. H. 1993. Multinational Enterprises and Global Economy. Ed. Wesley Publishing Company.</w:t>
            </w:r>
          </w:p>
        </w:tc>
      </w:tr>
      <w:tr>
        <w:trPr>
          <w:trHeight w:val="102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534"/>
              <w:rPr>
                <w:sz w:val="18"/>
              </w:rPr>
            </w:pPr>
            <w:r>
              <w:rPr>
                <w:sz w:val="18"/>
              </w:rPr>
              <w:t>Cullen, J. B. &amp;Parboteeah, 2008. Multinational Management. A Strategic Approach. Ed. South-Western Cengage Learning.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Czinkota, M. &amp;. Ronkainen, I. A. 2014. International Marketing. Ed. South-Western Cengage Learning.</w:t>
            </w:r>
          </w:p>
          <w:p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Se anadiran videos, podcast y cualquier otro material que sean relevantes para esta materia.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Bibliografía de consulta</w:t>
            </w:r>
          </w:p>
        </w:tc>
      </w:tr>
      <w:tr>
        <w:trPr>
          <w:trHeight w:val="75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244"/>
              <w:rPr>
                <w:sz w:val="18"/>
              </w:rPr>
            </w:pPr>
            <w:r>
              <w:rPr>
                <w:sz w:val="18"/>
              </w:rPr>
              <w:t>UNCTAD, 2019. International trade, transparency and gender equality.The case of the Pacifific Agreementon Closer Economic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Relations (PACER) Plus. United Nations, Geneva.</w:t>
            </w:r>
          </w:p>
        </w:tc>
      </w:tr>
      <w:tr>
        <w:trPr>
          <w:trHeight w:val="477" w:hRule="atLeast"/>
        </w:trPr>
        <w:tc>
          <w:tcPr>
            <w:tcW w:w="10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Estrategias de las Variables de Marketing. Bernal Turnes, Paloma; Vico Belmonte, Ana. OMM Editorial. Madrid, Marzo, 2012.</w:t>
            </w:r>
          </w:p>
        </w:tc>
      </w:tr>
      <w:tr>
        <w:trPr>
          <w:trHeight w:val="75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145"/>
              <w:rPr>
                <w:sz w:val="18"/>
              </w:rPr>
            </w:pPr>
            <w:r>
              <w:rPr>
                <w:sz w:val="18"/>
              </w:rPr>
              <w:t>Conceptos Fundamentales de Marketing. Vico Belmonte, Ana; Bernal Turnes, Paloma. OMM Editorial. Madrid, Marzo, 2012. Se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anadiran videos, podcast y otros articulos que sean relevantes para la materia.</w:t>
            </w:r>
          </w:p>
        </w:tc>
      </w:tr>
    </w:tbl>
    <w:p>
      <w:pPr>
        <w:spacing w:line="240" w:lineRule="auto" w:before="0"/>
        <w:rPr>
          <w:sz w:val="20"/>
        </w:rPr>
      </w:pPr>
      <w:r>
        <w:rPr/>
        <w:pict>
          <v:shape style="position:absolute;margin-left:487.220001pt;margin-top:812pt;width:73.8pt;height:17pt;mso-position-horizontal-relative:page;mso-position-vertical-relative:page;z-index:15735808" id="docshape18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7" w:hRule="atLeast"/>
        </w:trPr>
        <w:tc>
          <w:tcPr>
            <w:tcW w:w="10460" w:type="dxa"/>
            <w:gridSpan w:val="2"/>
            <w:shd w:val="clear" w:color="auto" w:fill="D1CCB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IX.-Profesorado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Nombre y apellidos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PALOMA BERNAL TURNES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hyperlink r:id="rId17">
              <w:r>
                <w:rPr>
                  <w:sz w:val="18"/>
                </w:rPr>
                <w:t>paloma.bernal@urjc.es</w:t>
              </w:r>
            </w:hyperlink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Economía de la Empresa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Categoría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Profesor/a Contratado/a Doctor/a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Titulación académica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Doctor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Responsable Asignatura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75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Horario de Tutorías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585"/>
              <w:rPr>
                <w:sz w:val="18"/>
              </w:rPr>
            </w:pPr>
            <w:r>
              <w:rPr>
                <w:sz w:val="18"/>
              </w:rPr>
              <w:t>Para consultar las tutorias póngase en contacto con el/la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profesor/-a a través de correo electrónico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de Quinquenios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de Sexenios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de Sexenios de transferencia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Tramo Docentia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10460" w:type="dxa"/>
            <w:gridSpan w:val="2"/>
            <w:shd w:val="clear" w:color="auto" w:fill="DDDAD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1900" w:h="16840"/>
      <w:pgMar w:header="0" w:footer="261" w:top="1380" w:bottom="460" w:left="1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pt;margin-top:812pt;width:527pt;height:17pt;mso-position-horizontal-relative:page;mso-position-vertical-relative:page;z-index:-16241152" id="docshape2" coordorigin="680,16240" coordsize="10540,340" path="m9744,16580l9744,16240m680,16240l9744,16240m11220,16580l11220,16240m9744,16580l11220,16580m9744,16240l11220,16240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3.947266pt;width:223.25pt;height:13.2pt;mso-position-horizontal-relative:page;mso-position-vertical-relative:page;z-index:-16240640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Vicerrectorado de Calidad, Ética y Buen Gobierno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600006pt;margin-top:813.947266pt;width:50.05pt;height:13.2pt;mso-position-horizontal-relative:page;mso-position-vertical-relative:page;z-index:-16240128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00" w:hanging="2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34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8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6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8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2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www.urjc.es/codigoetico" TargetMode="External"/><Relationship Id="rId8" Type="http://schemas.openxmlformats.org/officeDocument/2006/relationships/hyperlink" Target="https://urjc.es/images/Universidad/Presentacion/normativa/Normativa_conducta_academica_URJC.pdf" TargetMode="External"/><Relationship Id="rId9" Type="http://schemas.openxmlformats.org/officeDocument/2006/relationships/hyperlink" Target="http://www.consilium.europa.eu/es/policies/climate-change/" TargetMode="External"/><Relationship Id="rId10" Type="http://schemas.openxmlformats.org/officeDocument/2006/relationships/hyperlink" Target="http://www.worldbank.org/en/publication/wdr2020" TargetMode="External"/><Relationship Id="rId11" Type="http://schemas.openxmlformats.org/officeDocument/2006/relationships/hyperlink" Target="http://pubdocs.worldbank.org/en/124681548175938170/World-Development-" TargetMode="External"/><Relationship Id="rId12" Type="http://schemas.openxmlformats.org/officeDocument/2006/relationships/hyperlink" Target="http://documents1.worldbank.org/curated/en/417171589912076742/pdf/Covid-19-and-Food-Protectionism-The-Impact-of-the-" TargetMode="External"/><Relationship Id="rId13" Type="http://schemas.openxmlformats.org/officeDocument/2006/relationships/hyperlink" Target="http://documents1.worldbank.org/curated/en/509521585605825305/pdf/Do-s-and-Don-ts-of-Trade-Policy-in-the-Response-to-" TargetMode="External"/><Relationship Id="rId14" Type="http://schemas.openxmlformats.org/officeDocument/2006/relationships/hyperlink" Target="http://documents1.worldbank.org/curated/en/430231587377960726/pdf/Trade-and-COVID-19-Guidance-" TargetMode="External"/><Relationship Id="rId15" Type="http://schemas.openxmlformats.org/officeDocument/2006/relationships/hyperlink" Target="http://documents1.worldbank.org/curated/en/280651589394091402/pdf/Recommendations-to-Leverage-E-Commerce-During-" TargetMode="External"/><Relationship Id="rId16" Type="http://schemas.openxmlformats.org/officeDocument/2006/relationships/hyperlink" Target="http://documents1.worldbank.org/curated/en/824081587487261551/pdf/Trade-and-COVID-19-Guidance-Note-" TargetMode="External"/><Relationship Id="rId17" Type="http://schemas.openxmlformats.org/officeDocument/2006/relationships/hyperlink" Target="mailto:paloma.bernal@urjc.es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2022-11-23T09:50:39Z</dcterms:created>
  <dcterms:modified xsi:type="dcterms:W3CDTF">2022-11-23T09:50:39Z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2022-11-23T00:00:00Z</vt:filetime>
  </property>
</Properties>
</file>