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2E11601" w14:textId="77777777" w:rsidR="00ED5BE1" w:rsidRPr="0090305A" w:rsidRDefault="00ED5BE1" w:rsidP="00EE7802">
      <w:pPr>
        <w:pStyle w:val="Normal1"/>
        <w:spacing w:after="0" w:line="480" w:lineRule="auto"/>
        <w:contextualSpacing/>
        <w:jc w:val="center"/>
        <w:rPr>
          <w:rFonts w:ascii="Times New Roman" w:eastAsia="Times New Roman" w:hAnsi="Times New Roman" w:cs="Times New Roman"/>
          <w:color w:val="000000" w:themeColor="text1"/>
          <w:sz w:val="24"/>
          <w:szCs w:val="24"/>
        </w:rPr>
      </w:pPr>
    </w:p>
    <w:p w14:paraId="5015F489" w14:textId="77777777" w:rsidR="00ED5BE1" w:rsidRPr="0090305A" w:rsidRDefault="00ED5BE1">
      <w:pPr>
        <w:pStyle w:val="Normal1"/>
        <w:spacing w:after="0" w:line="480" w:lineRule="auto"/>
        <w:contextualSpacing/>
        <w:jc w:val="center"/>
        <w:rPr>
          <w:rFonts w:ascii="Times New Roman" w:eastAsia="Times New Roman" w:hAnsi="Times New Roman" w:cs="Times New Roman"/>
          <w:color w:val="000000" w:themeColor="text1"/>
          <w:sz w:val="24"/>
          <w:szCs w:val="24"/>
        </w:rPr>
      </w:pPr>
    </w:p>
    <w:p w14:paraId="7553133E" w14:textId="77777777" w:rsidR="00ED5BE1" w:rsidRPr="0090305A" w:rsidRDefault="00ED5BE1">
      <w:pPr>
        <w:pStyle w:val="Normal1"/>
        <w:spacing w:after="0" w:line="480" w:lineRule="auto"/>
        <w:contextualSpacing/>
        <w:jc w:val="center"/>
        <w:rPr>
          <w:rFonts w:ascii="Times New Roman" w:eastAsia="Times New Roman" w:hAnsi="Times New Roman" w:cs="Times New Roman"/>
          <w:color w:val="000000" w:themeColor="text1"/>
          <w:sz w:val="24"/>
          <w:szCs w:val="24"/>
        </w:rPr>
      </w:pPr>
    </w:p>
    <w:p w14:paraId="0F162BCF" w14:textId="77777777" w:rsidR="00ED5BE1" w:rsidRPr="0090305A" w:rsidRDefault="00ED5BE1">
      <w:pPr>
        <w:pStyle w:val="Normal1"/>
        <w:spacing w:after="0" w:line="480" w:lineRule="auto"/>
        <w:contextualSpacing/>
        <w:jc w:val="center"/>
        <w:rPr>
          <w:rFonts w:ascii="Times New Roman" w:eastAsia="Times New Roman" w:hAnsi="Times New Roman" w:cs="Times New Roman"/>
          <w:color w:val="000000" w:themeColor="text1"/>
          <w:sz w:val="24"/>
          <w:szCs w:val="24"/>
        </w:rPr>
      </w:pPr>
    </w:p>
    <w:p w14:paraId="609B6875" w14:textId="77777777" w:rsidR="00ED5BE1" w:rsidRPr="0090305A" w:rsidRDefault="00ED5BE1">
      <w:pPr>
        <w:pStyle w:val="Normal1"/>
        <w:spacing w:after="0" w:line="480" w:lineRule="auto"/>
        <w:contextualSpacing/>
        <w:jc w:val="center"/>
        <w:rPr>
          <w:rFonts w:ascii="Times New Roman" w:eastAsia="Times New Roman" w:hAnsi="Times New Roman" w:cs="Times New Roman"/>
          <w:color w:val="000000" w:themeColor="text1"/>
          <w:sz w:val="24"/>
          <w:szCs w:val="24"/>
        </w:rPr>
      </w:pPr>
    </w:p>
    <w:p w14:paraId="45033C8D" w14:textId="77777777" w:rsidR="00ED5BE1" w:rsidRPr="0090305A" w:rsidRDefault="00ED5BE1">
      <w:pPr>
        <w:pStyle w:val="Normal1"/>
        <w:spacing w:after="0" w:line="480" w:lineRule="auto"/>
        <w:contextualSpacing/>
        <w:jc w:val="center"/>
        <w:rPr>
          <w:rFonts w:ascii="Times New Roman" w:eastAsia="Times New Roman" w:hAnsi="Times New Roman" w:cs="Times New Roman"/>
          <w:color w:val="000000" w:themeColor="text1"/>
          <w:sz w:val="24"/>
          <w:szCs w:val="24"/>
        </w:rPr>
      </w:pPr>
    </w:p>
    <w:p w14:paraId="2836C437" w14:textId="77777777" w:rsidR="00ED5BE1" w:rsidRPr="0090305A" w:rsidRDefault="00ED5BE1">
      <w:pPr>
        <w:pStyle w:val="Normal1"/>
        <w:spacing w:after="0" w:line="480" w:lineRule="auto"/>
        <w:contextualSpacing/>
        <w:jc w:val="center"/>
        <w:rPr>
          <w:rFonts w:ascii="Times New Roman" w:eastAsia="Times New Roman" w:hAnsi="Times New Roman" w:cs="Times New Roman"/>
          <w:color w:val="000000" w:themeColor="text1"/>
          <w:sz w:val="24"/>
          <w:szCs w:val="24"/>
        </w:rPr>
      </w:pPr>
    </w:p>
    <w:p w14:paraId="58124766" w14:textId="77777777" w:rsidR="00ED5BE1" w:rsidRPr="0090305A" w:rsidRDefault="00ED5BE1">
      <w:pPr>
        <w:pStyle w:val="Normal1"/>
        <w:spacing w:after="0" w:line="480" w:lineRule="auto"/>
        <w:contextualSpacing/>
        <w:jc w:val="center"/>
        <w:rPr>
          <w:rFonts w:ascii="Times New Roman" w:eastAsia="Times New Roman" w:hAnsi="Times New Roman" w:cs="Times New Roman"/>
          <w:color w:val="000000" w:themeColor="text1"/>
          <w:sz w:val="24"/>
          <w:szCs w:val="24"/>
        </w:rPr>
      </w:pPr>
    </w:p>
    <w:p w14:paraId="6D444ABC" w14:textId="77777777" w:rsidR="006910F0" w:rsidRPr="0090305A" w:rsidRDefault="006910F0" w:rsidP="0090305A">
      <w:pPr>
        <w:pStyle w:val="Normal1"/>
        <w:spacing w:after="0" w:line="480" w:lineRule="auto"/>
        <w:contextualSpacing/>
        <w:jc w:val="center"/>
        <w:rPr>
          <w:rFonts w:ascii="Times New Roman" w:eastAsia="Times New Roman" w:hAnsi="Times New Roman" w:cs="Times New Roman"/>
          <w:color w:val="000000" w:themeColor="text1"/>
          <w:sz w:val="24"/>
          <w:szCs w:val="24"/>
        </w:rPr>
      </w:pPr>
    </w:p>
    <w:p w14:paraId="0188C6B8" w14:textId="3D2D8AA4" w:rsidR="00701FB0" w:rsidRPr="0090305A" w:rsidRDefault="002F273A" w:rsidP="0090305A">
      <w:pPr>
        <w:pStyle w:val="Normal1"/>
        <w:spacing w:after="0" w:line="480" w:lineRule="auto"/>
        <w:contextualSpacing/>
        <w:jc w:val="center"/>
        <w:rPr>
          <w:rFonts w:ascii="Times New Roman" w:eastAsia="Times New Roman" w:hAnsi="Times New Roman" w:cs="Times New Roman"/>
          <w:color w:val="000000" w:themeColor="text1"/>
          <w:sz w:val="24"/>
          <w:szCs w:val="24"/>
        </w:rPr>
      </w:pPr>
      <w:r w:rsidRPr="0090305A">
        <w:rPr>
          <w:rFonts w:ascii="Times New Roman" w:eastAsia="Times New Roman" w:hAnsi="Times New Roman" w:cs="Times New Roman"/>
          <w:color w:val="000000" w:themeColor="text1"/>
          <w:sz w:val="24"/>
          <w:szCs w:val="24"/>
        </w:rPr>
        <w:t>Measurement and predictors of resilience among Latin American public relations professionals: An application of the Connor-Davidson Resilience Scale (CD-RISC)</w:t>
      </w:r>
      <w:r w:rsidR="000E1F5E" w:rsidRPr="0090305A">
        <w:rPr>
          <w:rFonts w:ascii="Times New Roman" w:eastAsia="Times New Roman" w:hAnsi="Times New Roman" w:cs="Times New Roman"/>
          <w:color w:val="000000" w:themeColor="text1"/>
          <w:sz w:val="24"/>
          <w:szCs w:val="24"/>
        </w:rPr>
        <w:t xml:space="preserve"> </w:t>
      </w:r>
    </w:p>
    <w:p w14:paraId="773C390A" w14:textId="77777777" w:rsidR="00ED5BE1" w:rsidRPr="0090305A" w:rsidRDefault="00ED5BE1" w:rsidP="00EE7802">
      <w:pPr>
        <w:pStyle w:val="Normal1"/>
        <w:spacing w:after="0" w:line="480" w:lineRule="auto"/>
        <w:contextualSpacing/>
        <w:jc w:val="center"/>
        <w:rPr>
          <w:rFonts w:ascii="Times New Roman" w:eastAsia="Times New Roman" w:hAnsi="Times New Roman" w:cs="Times New Roman"/>
          <w:color w:val="000000" w:themeColor="text1"/>
          <w:sz w:val="24"/>
          <w:szCs w:val="24"/>
        </w:rPr>
      </w:pPr>
    </w:p>
    <w:p w14:paraId="3DF725DC" w14:textId="77777777" w:rsidR="00423024" w:rsidRPr="0090305A" w:rsidRDefault="00423024">
      <w:pPr>
        <w:pStyle w:val="Normal1"/>
        <w:spacing w:after="0" w:line="480" w:lineRule="auto"/>
        <w:contextualSpacing/>
        <w:jc w:val="center"/>
        <w:rPr>
          <w:rFonts w:ascii="Times New Roman" w:eastAsia="Times New Roman" w:hAnsi="Times New Roman" w:cs="Times New Roman"/>
          <w:color w:val="000000" w:themeColor="text1"/>
          <w:sz w:val="24"/>
          <w:szCs w:val="24"/>
        </w:rPr>
      </w:pPr>
    </w:p>
    <w:p w14:paraId="5C6522D0" w14:textId="77777777" w:rsidR="00ED5BE1" w:rsidRPr="0090305A" w:rsidRDefault="00ED5BE1">
      <w:pPr>
        <w:pStyle w:val="Normal1"/>
        <w:spacing w:after="0" w:line="480" w:lineRule="auto"/>
        <w:contextualSpacing/>
        <w:jc w:val="center"/>
        <w:rPr>
          <w:rFonts w:ascii="Times New Roman" w:eastAsia="Times New Roman" w:hAnsi="Times New Roman" w:cs="Times New Roman"/>
          <w:color w:val="000000" w:themeColor="text1"/>
          <w:sz w:val="24"/>
          <w:szCs w:val="24"/>
        </w:rPr>
      </w:pPr>
    </w:p>
    <w:p w14:paraId="2EF55F8E" w14:textId="77777777" w:rsidR="00ED5BE1" w:rsidRPr="0090305A" w:rsidRDefault="00ED5BE1">
      <w:pPr>
        <w:pStyle w:val="Normal1"/>
        <w:spacing w:after="0" w:line="480" w:lineRule="auto"/>
        <w:contextualSpacing/>
        <w:jc w:val="center"/>
        <w:rPr>
          <w:rFonts w:ascii="Times New Roman" w:eastAsia="Times New Roman" w:hAnsi="Times New Roman" w:cs="Times New Roman"/>
          <w:color w:val="000000" w:themeColor="text1"/>
          <w:sz w:val="24"/>
          <w:szCs w:val="24"/>
        </w:rPr>
      </w:pPr>
    </w:p>
    <w:p w14:paraId="165F83D6" w14:textId="77777777" w:rsidR="00ED5BE1" w:rsidRPr="0090305A" w:rsidRDefault="00ED5BE1">
      <w:pPr>
        <w:pStyle w:val="Normal1"/>
        <w:spacing w:after="0" w:line="480" w:lineRule="auto"/>
        <w:contextualSpacing/>
        <w:jc w:val="center"/>
        <w:rPr>
          <w:rFonts w:ascii="Times New Roman" w:eastAsia="Times New Roman" w:hAnsi="Times New Roman" w:cs="Times New Roman"/>
          <w:color w:val="000000" w:themeColor="text1"/>
          <w:sz w:val="24"/>
          <w:szCs w:val="24"/>
        </w:rPr>
      </w:pPr>
    </w:p>
    <w:p w14:paraId="69515386" w14:textId="77777777" w:rsidR="00ED5BE1" w:rsidRPr="0090305A" w:rsidRDefault="00ED5BE1">
      <w:pPr>
        <w:pStyle w:val="Normal1"/>
        <w:spacing w:after="0" w:line="480" w:lineRule="auto"/>
        <w:contextualSpacing/>
        <w:jc w:val="center"/>
        <w:rPr>
          <w:rFonts w:ascii="Times New Roman" w:eastAsia="Times New Roman" w:hAnsi="Times New Roman" w:cs="Times New Roman"/>
          <w:color w:val="000000" w:themeColor="text1"/>
          <w:sz w:val="24"/>
          <w:szCs w:val="24"/>
        </w:rPr>
      </w:pPr>
    </w:p>
    <w:p w14:paraId="6FFE3104" w14:textId="77777777" w:rsidR="00ED5BE1" w:rsidRPr="0090305A" w:rsidRDefault="00ED5BE1">
      <w:pPr>
        <w:pStyle w:val="Normal1"/>
        <w:spacing w:after="0" w:line="480" w:lineRule="auto"/>
        <w:contextualSpacing/>
        <w:jc w:val="center"/>
        <w:rPr>
          <w:rFonts w:ascii="Times New Roman" w:eastAsia="Times New Roman" w:hAnsi="Times New Roman" w:cs="Times New Roman"/>
          <w:color w:val="000000" w:themeColor="text1"/>
          <w:sz w:val="24"/>
          <w:szCs w:val="24"/>
        </w:rPr>
      </w:pPr>
    </w:p>
    <w:p w14:paraId="05AB5188" w14:textId="77777777" w:rsidR="00ED5BE1" w:rsidRPr="0090305A" w:rsidRDefault="00ED5BE1">
      <w:pPr>
        <w:pStyle w:val="Normal1"/>
        <w:spacing w:after="0" w:line="480" w:lineRule="auto"/>
        <w:contextualSpacing/>
        <w:jc w:val="center"/>
        <w:rPr>
          <w:rFonts w:ascii="Times New Roman" w:eastAsia="Times New Roman" w:hAnsi="Times New Roman" w:cs="Times New Roman"/>
          <w:color w:val="000000" w:themeColor="text1"/>
          <w:sz w:val="24"/>
          <w:szCs w:val="24"/>
        </w:rPr>
      </w:pPr>
    </w:p>
    <w:p w14:paraId="18637140" w14:textId="75625FDD" w:rsidR="00ED5BE1" w:rsidRPr="0090305A" w:rsidRDefault="00ED5BE1">
      <w:pPr>
        <w:pStyle w:val="Normal1"/>
        <w:spacing w:after="0" w:line="480" w:lineRule="auto"/>
        <w:contextualSpacing/>
        <w:jc w:val="center"/>
        <w:rPr>
          <w:rFonts w:ascii="Times New Roman" w:eastAsia="Times New Roman" w:hAnsi="Times New Roman" w:cs="Times New Roman"/>
          <w:color w:val="000000" w:themeColor="text1"/>
          <w:sz w:val="24"/>
          <w:szCs w:val="24"/>
        </w:rPr>
      </w:pPr>
    </w:p>
    <w:p w14:paraId="5A048E01" w14:textId="77777777" w:rsidR="00856379" w:rsidRPr="0090305A" w:rsidRDefault="00856379">
      <w:pPr>
        <w:pStyle w:val="Normal1"/>
        <w:spacing w:after="0" w:line="480" w:lineRule="auto"/>
        <w:contextualSpacing/>
        <w:jc w:val="center"/>
        <w:rPr>
          <w:rFonts w:ascii="Times New Roman" w:eastAsia="Times New Roman" w:hAnsi="Times New Roman" w:cs="Times New Roman"/>
          <w:color w:val="000000" w:themeColor="text1"/>
          <w:sz w:val="24"/>
          <w:szCs w:val="24"/>
        </w:rPr>
      </w:pPr>
    </w:p>
    <w:p w14:paraId="39FC697C" w14:textId="054A160B" w:rsidR="00ED5BE1" w:rsidRPr="0090305A" w:rsidRDefault="00ED5BE1">
      <w:pPr>
        <w:pStyle w:val="Normal1"/>
        <w:spacing w:after="0" w:line="480" w:lineRule="auto"/>
        <w:contextualSpacing/>
        <w:jc w:val="center"/>
        <w:rPr>
          <w:rFonts w:ascii="Times New Roman" w:eastAsia="Times New Roman" w:hAnsi="Times New Roman" w:cs="Times New Roman"/>
          <w:color w:val="000000" w:themeColor="text1"/>
          <w:sz w:val="24"/>
          <w:szCs w:val="24"/>
        </w:rPr>
      </w:pPr>
    </w:p>
    <w:p w14:paraId="063C5993" w14:textId="54450B02" w:rsidR="00FB44C1" w:rsidRPr="0090305A" w:rsidRDefault="00FB44C1">
      <w:pPr>
        <w:pStyle w:val="Normal1"/>
        <w:spacing w:after="0" w:line="480" w:lineRule="auto"/>
        <w:contextualSpacing/>
        <w:jc w:val="center"/>
        <w:rPr>
          <w:rFonts w:ascii="Times New Roman" w:eastAsia="Times New Roman" w:hAnsi="Times New Roman" w:cs="Times New Roman"/>
          <w:color w:val="000000" w:themeColor="text1"/>
          <w:sz w:val="24"/>
          <w:szCs w:val="24"/>
        </w:rPr>
      </w:pPr>
    </w:p>
    <w:p w14:paraId="77C424D0" w14:textId="77777777" w:rsidR="00FB44C1" w:rsidRPr="0090305A" w:rsidRDefault="00FB44C1">
      <w:pPr>
        <w:pStyle w:val="Normal1"/>
        <w:spacing w:after="0" w:line="480" w:lineRule="auto"/>
        <w:contextualSpacing/>
        <w:jc w:val="center"/>
        <w:rPr>
          <w:rFonts w:ascii="Times New Roman" w:eastAsia="Times New Roman" w:hAnsi="Times New Roman" w:cs="Times New Roman"/>
          <w:color w:val="000000" w:themeColor="text1"/>
          <w:sz w:val="24"/>
          <w:szCs w:val="24"/>
        </w:rPr>
      </w:pPr>
    </w:p>
    <w:p w14:paraId="3098824A" w14:textId="77777777" w:rsidR="00701FB0" w:rsidRPr="0090305A" w:rsidRDefault="002A4149">
      <w:pPr>
        <w:pStyle w:val="Normal1"/>
        <w:spacing w:after="0" w:line="480" w:lineRule="auto"/>
        <w:contextualSpacing/>
        <w:jc w:val="center"/>
        <w:outlineLvl w:val="0"/>
        <w:rPr>
          <w:rFonts w:ascii="Times New Roman" w:hAnsi="Times New Roman" w:cs="Times New Roman"/>
          <w:color w:val="000000" w:themeColor="text1"/>
          <w:sz w:val="24"/>
          <w:szCs w:val="24"/>
        </w:rPr>
      </w:pPr>
      <w:r w:rsidRPr="0090305A">
        <w:rPr>
          <w:rFonts w:ascii="Times New Roman" w:eastAsia="Times New Roman" w:hAnsi="Times New Roman" w:cs="Times New Roman"/>
          <w:color w:val="000000" w:themeColor="text1"/>
          <w:sz w:val="24"/>
          <w:szCs w:val="24"/>
        </w:rPr>
        <w:lastRenderedPageBreak/>
        <w:t>Abstract</w:t>
      </w:r>
    </w:p>
    <w:p w14:paraId="7C849189" w14:textId="03D0C8FF" w:rsidR="00241938" w:rsidRPr="0090305A" w:rsidRDefault="00241938">
      <w:pPr>
        <w:pStyle w:val="TextoAPA"/>
        <w:outlineLvl w:val="0"/>
        <w:rPr>
          <w:color w:val="000000" w:themeColor="text1"/>
        </w:rPr>
      </w:pPr>
      <w:bookmarkStart w:id="0" w:name="h.gjdgxs" w:colFirst="0" w:colLast="0"/>
      <w:bookmarkEnd w:id="0"/>
      <w:r w:rsidRPr="0090305A">
        <w:rPr>
          <w:color w:val="000000" w:themeColor="text1"/>
          <w:lang w:val="en-GB"/>
        </w:rPr>
        <w:t xml:space="preserve">Purpose: </w:t>
      </w:r>
      <w:r w:rsidR="002972D0" w:rsidRPr="0090305A">
        <w:rPr>
          <w:color w:val="000000" w:themeColor="text1"/>
        </w:rPr>
        <w:t xml:space="preserve">It is well </w:t>
      </w:r>
      <w:r w:rsidR="00D85F49" w:rsidRPr="0090305A">
        <w:rPr>
          <w:color w:val="000000" w:themeColor="text1"/>
        </w:rPr>
        <w:t>e</w:t>
      </w:r>
      <w:r w:rsidR="002972D0" w:rsidRPr="0090305A">
        <w:rPr>
          <w:color w:val="000000" w:themeColor="text1"/>
        </w:rPr>
        <w:t>stablish</w:t>
      </w:r>
      <w:r w:rsidR="00D85F49" w:rsidRPr="0090305A">
        <w:rPr>
          <w:color w:val="000000" w:themeColor="text1"/>
        </w:rPr>
        <w:t>ed</w:t>
      </w:r>
      <w:r w:rsidR="002972D0" w:rsidRPr="0090305A">
        <w:rPr>
          <w:color w:val="000000" w:themeColor="text1"/>
        </w:rPr>
        <w:t xml:space="preserve"> that</w:t>
      </w:r>
      <w:r w:rsidR="00700B38" w:rsidRPr="0090305A">
        <w:rPr>
          <w:color w:val="000000" w:themeColor="text1"/>
        </w:rPr>
        <w:t xml:space="preserve"> greater resilience </w:t>
      </w:r>
      <w:r w:rsidR="00352DD2" w:rsidRPr="0090305A">
        <w:rPr>
          <w:color w:val="000000" w:themeColor="text1"/>
        </w:rPr>
        <w:t>buffers the negative effects of adverse events and conditions</w:t>
      </w:r>
      <w:r w:rsidR="006D6F30" w:rsidRPr="0090305A">
        <w:rPr>
          <w:color w:val="000000" w:themeColor="text1"/>
        </w:rPr>
        <w:t xml:space="preserve">, allowing the affected </w:t>
      </w:r>
      <w:r w:rsidR="008E20AD" w:rsidRPr="0090305A">
        <w:rPr>
          <w:color w:val="000000" w:themeColor="text1"/>
        </w:rPr>
        <w:t>individual</w:t>
      </w:r>
      <w:r w:rsidR="006D6F30" w:rsidRPr="0090305A">
        <w:rPr>
          <w:color w:val="000000" w:themeColor="text1"/>
        </w:rPr>
        <w:t xml:space="preserve"> to recover adequately.</w:t>
      </w:r>
      <w:r w:rsidR="00352DD2" w:rsidRPr="0090305A">
        <w:rPr>
          <w:color w:val="000000" w:themeColor="text1"/>
        </w:rPr>
        <w:t xml:space="preserve"> </w:t>
      </w:r>
      <w:r w:rsidR="004F70B1" w:rsidRPr="0090305A">
        <w:rPr>
          <w:color w:val="000000" w:themeColor="text1"/>
        </w:rPr>
        <w:t>R</w:t>
      </w:r>
      <w:r w:rsidR="00566BB6" w:rsidRPr="0090305A">
        <w:rPr>
          <w:color w:val="000000" w:themeColor="text1"/>
        </w:rPr>
        <w:t>esilience i</w:t>
      </w:r>
      <w:r w:rsidR="00960830" w:rsidRPr="0090305A">
        <w:rPr>
          <w:color w:val="000000" w:themeColor="text1"/>
        </w:rPr>
        <w:t>s a core trait for public relations practitioners, due to the</w:t>
      </w:r>
      <w:r w:rsidR="00663EE4" w:rsidRPr="0090305A">
        <w:rPr>
          <w:color w:val="000000" w:themeColor="text1"/>
        </w:rPr>
        <w:t xml:space="preserve"> challenging and</w:t>
      </w:r>
      <w:r w:rsidR="00960830" w:rsidRPr="0090305A">
        <w:rPr>
          <w:color w:val="000000" w:themeColor="text1"/>
        </w:rPr>
        <w:t xml:space="preserve"> pressure-laden nature of their work.</w:t>
      </w:r>
      <w:r w:rsidR="003D1A95" w:rsidRPr="0090305A">
        <w:rPr>
          <w:color w:val="000000" w:themeColor="text1"/>
        </w:rPr>
        <w:t xml:space="preserve"> However, as an individual-level </w:t>
      </w:r>
      <w:r w:rsidR="003E0697" w:rsidRPr="0090305A">
        <w:rPr>
          <w:color w:val="000000" w:themeColor="text1"/>
        </w:rPr>
        <w:t>trait</w:t>
      </w:r>
      <w:r w:rsidR="003D1A95" w:rsidRPr="0090305A">
        <w:rPr>
          <w:color w:val="000000" w:themeColor="text1"/>
        </w:rPr>
        <w:t xml:space="preserve">, </w:t>
      </w:r>
      <w:r w:rsidR="003E0697" w:rsidRPr="0090305A">
        <w:rPr>
          <w:color w:val="000000" w:themeColor="text1"/>
        </w:rPr>
        <w:t xml:space="preserve">this phenomenon </w:t>
      </w:r>
      <w:r w:rsidR="003D1A95" w:rsidRPr="0090305A">
        <w:rPr>
          <w:color w:val="000000" w:themeColor="text1"/>
        </w:rPr>
        <w:t xml:space="preserve">remains underexplored in the </w:t>
      </w:r>
      <w:r w:rsidR="00C21BBC" w:rsidRPr="0090305A">
        <w:rPr>
          <w:color w:val="000000" w:themeColor="text1"/>
        </w:rPr>
        <w:t>communication</w:t>
      </w:r>
      <w:r w:rsidR="003D1A95" w:rsidRPr="0090305A">
        <w:rPr>
          <w:color w:val="000000" w:themeColor="text1"/>
        </w:rPr>
        <w:t xml:space="preserve"> field. </w:t>
      </w:r>
      <w:r w:rsidR="00F65650" w:rsidRPr="0090305A">
        <w:rPr>
          <w:color w:val="000000" w:themeColor="text1"/>
        </w:rPr>
        <w:t xml:space="preserve">The current study </w:t>
      </w:r>
      <w:r w:rsidR="00284A30" w:rsidRPr="0090305A">
        <w:rPr>
          <w:color w:val="000000" w:themeColor="text1"/>
        </w:rPr>
        <w:t>examines</w:t>
      </w:r>
      <w:r w:rsidR="00D85F49" w:rsidRPr="0090305A">
        <w:rPr>
          <w:color w:val="000000" w:themeColor="text1"/>
        </w:rPr>
        <w:t xml:space="preserve"> </w:t>
      </w:r>
      <w:r w:rsidR="00360D2E" w:rsidRPr="0090305A">
        <w:rPr>
          <w:color w:val="000000" w:themeColor="text1"/>
        </w:rPr>
        <w:t>the dimensionality and measurement invariance of the 25-item Connor-Davidson Resilience Scale (Connor &amp; Davidson, 2003)</w:t>
      </w:r>
      <w:r w:rsidR="00244BE0" w:rsidRPr="0090305A">
        <w:rPr>
          <w:color w:val="000000" w:themeColor="text1"/>
        </w:rPr>
        <w:t>, evaluate the level of resilience</w:t>
      </w:r>
      <w:r w:rsidR="00F65650" w:rsidRPr="0090305A">
        <w:rPr>
          <w:color w:val="000000" w:themeColor="text1"/>
        </w:rPr>
        <w:t>,</w:t>
      </w:r>
      <w:r w:rsidR="00244BE0" w:rsidRPr="0090305A">
        <w:rPr>
          <w:color w:val="000000" w:themeColor="text1"/>
        </w:rPr>
        <w:t xml:space="preserve"> and identify predictors of resilience among</w:t>
      </w:r>
      <w:r w:rsidR="004F70B1" w:rsidRPr="0090305A">
        <w:rPr>
          <w:color w:val="000000" w:themeColor="text1"/>
        </w:rPr>
        <w:t xml:space="preserve"> </w:t>
      </w:r>
      <w:r w:rsidR="00360D2E" w:rsidRPr="0090305A">
        <w:rPr>
          <w:color w:val="000000" w:themeColor="text1"/>
        </w:rPr>
        <w:t>Latin American public relations practitioners</w:t>
      </w:r>
      <w:r w:rsidR="00244BE0" w:rsidRPr="0090305A">
        <w:rPr>
          <w:color w:val="000000" w:themeColor="text1"/>
        </w:rPr>
        <w:t>.</w:t>
      </w:r>
      <w:r w:rsidR="004F70B1" w:rsidRPr="0090305A">
        <w:rPr>
          <w:color w:val="000000" w:themeColor="text1"/>
        </w:rPr>
        <w:t xml:space="preserve"> </w:t>
      </w:r>
    </w:p>
    <w:p w14:paraId="443952DC" w14:textId="1AEC6001" w:rsidR="00241938" w:rsidRPr="0090305A" w:rsidRDefault="00241938">
      <w:pPr>
        <w:pStyle w:val="TextoAPA"/>
        <w:outlineLvl w:val="0"/>
        <w:rPr>
          <w:color w:val="000000" w:themeColor="text1"/>
        </w:rPr>
      </w:pPr>
      <w:r w:rsidRPr="0090305A">
        <w:rPr>
          <w:color w:val="000000" w:themeColor="text1"/>
          <w:lang w:val="en-GB"/>
        </w:rPr>
        <w:t>Design:</w:t>
      </w:r>
      <w:r w:rsidR="00A12339" w:rsidRPr="0090305A">
        <w:rPr>
          <w:color w:val="000000" w:themeColor="text1"/>
          <w:lang w:val="en-GB"/>
        </w:rPr>
        <w:t xml:space="preserve"> A population of </w:t>
      </w:r>
      <w:r w:rsidR="00A46D5A" w:rsidRPr="0090305A">
        <w:rPr>
          <w:color w:val="000000" w:themeColor="text1"/>
        </w:rPr>
        <w:t>898</w:t>
      </w:r>
      <w:r w:rsidR="00A12339" w:rsidRPr="0090305A">
        <w:rPr>
          <w:color w:val="000000" w:themeColor="text1"/>
          <w:lang w:val="en-GB"/>
        </w:rPr>
        <w:t xml:space="preserve"> public relations professionals from 18 Latin American countries working on different hierarchical levels, both in communication departments and agencies across the region</w:t>
      </w:r>
      <w:r w:rsidR="00A46D5A" w:rsidRPr="0090305A">
        <w:rPr>
          <w:color w:val="000000" w:themeColor="text1"/>
          <w:lang w:val="en-GB"/>
        </w:rPr>
        <w:t xml:space="preserve"> were surveyed.</w:t>
      </w:r>
    </w:p>
    <w:p w14:paraId="6A5F4693" w14:textId="445251B8" w:rsidR="00FB6DFD" w:rsidRPr="0090305A" w:rsidRDefault="00241938">
      <w:pPr>
        <w:pStyle w:val="TextoAPA"/>
        <w:outlineLvl w:val="0"/>
        <w:rPr>
          <w:color w:val="000000" w:themeColor="text1"/>
        </w:rPr>
      </w:pPr>
      <w:r w:rsidRPr="0090305A">
        <w:rPr>
          <w:color w:val="000000" w:themeColor="text1"/>
          <w:lang w:val="en-GB"/>
        </w:rPr>
        <w:t xml:space="preserve">Findings: </w:t>
      </w:r>
      <w:r w:rsidR="006F553A" w:rsidRPr="0090305A">
        <w:rPr>
          <w:color w:val="000000" w:themeColor="text1"/>
        </w:rPr>
        <w:t>CD-RISC global scorings</w:t>
      </w:r>
      <w:r w:rsidR="002516F6" w:rsidRPr="0090305A">
        <w:rPr>
          <w:color w:val="000000" w:themeColor="text1"/>
        </w:rPr>
        <w:t xml:space="preserve"> </w:t>
      </w:r>
      <w:r w:rsidR="00284A30" w:rsidRPr="0090305A">
        <w:rPr>
          <w:color w:val="000000" w:themeColor="text1"/>
        </w:rPr>
        <w:t>sho</w:t>
      </w:r>
      <w:r w:rsidR="002516F6" w:rsidRPr="0090305A">
        <w:rPr>
          <w:color w:val="000000" w:themeColor="text1"/>
        </w:rPr>
        <w:t>w</w:t>
      </w:r>
      <w:r w:rsidR="00284A30" w:rsidRPr="0090305A">
        <w:rPr>
          <w:color w:val="000000" w:themeColor="text1"/>
        </w:rPr>
        <w:t xml:space="preserve"> direct correlations with a</w:t>
      </w:r>
      <w:r w:rsidR="004F70B1" w:rsidRPr="0090305A">
        <w:rPr>
          <w:color w:val="000000" w:themeColor="text1"/>
        </w:rPr>
        <w:t xml:space="preserve">ge, years of experience, </w:t>
      </w:r>
      <w:r w:rsidR="00685305" w:rsidRPr="0090305A">
        <w:rPr>
          <w:color w:val="000000" w:themeColor="text1"/>
        </w:rPr>
        <w:t xml:space="preserve">type of organization, </w:t>
      </w:r>
      <w:r w:rsidR="004F70B1" w:rsidRPr="0090305A">
        <w:rPr>
          <w:color w:val="000000" w:themeColor="text1"/>
        </w:rPr>
        <w:t xml:space="preserve">hierarchy, </w:t>
      </w:r>
      <w:r w:rsidR="00284A30" w:rsidRPr="0090305A">
        <w:rPr>
          <w:color w:val="000000" w:themeColor="text1"/>
        </w:rPr>
        <w:t xml:space="preserve">and </w:t>
      </w:r>
      <w:r w:rsidR="00EC5AB2" w:rsidRPr="0090305A">
        <w:rPr>
          <w:color w:val="000000" w:themeColor="text1"/>
        </w:rPr>
        <w:t xml:space="preserve">social media </w:t>
      </w:r>
      <w:r w:rsidR="00D75905" w:rsidRPr="0090305A">
        <w:rPr>
          <w:color w:val="000000" w:themeColor="text1"/>
        </w:rPr>
        <w:t>skills</w:t>
      </w:r>
      <w:r w:rsidR="003D1A95" w:rsidRPr="0090305A">
        <w:rPr>
          <w:color w:val="000000" w:themeColor="text1"/>
        </w:rPr>
        <w:t>. However</w:t>
      </w:r>
      <w:r w:rsidR="00685305" w:rsidRPr="0090305A">
        <w:rPr>
          <w:color w:val="000000" w:themeColor="text1"/>
        </w:rPr>
        <w:t>, education, gender</w:t>
      </w:r>
      <w:r w:rsidR="000525CE" w:rsidRPr="0090305A">
        <w:rPr>
          <w:color w:val="000000" w:themeColor="text1"/>
        </w:rPr>
        <w:t>,</w:t>
      </w:r>
      <w:r w:rsidR="003D1A95" w:rsidRPr="0090305A">
        <w:rPr>
          <w:color w:val="000000" w:themeColor="text1"/>
        </w:rPr>
        <w:t xml:space="preserve"> </w:t>
      </w:r>
      <w:r w:rsidR="005E3D6A" w:rsidRPr="0090305A">
        <w:rPr>
          <w:color w:val="000000" w:themeColor="text1"/>
        </w:rPr>
        <w:t xml:space="preserve">or </w:t>
      </w:r>
      <w:r w:rsidR="003D1A95" w:rsidRPr="0090305A">
        <w:rPr>
          <w:color w:val="000000" w:themeColor="text1"/>
        </w:rPr>
        <w:t>working in an excellent</w:t>
      </w:r>
      <w:r w:rsidR="005E3D6A" w:rsidRPr="0090305A">
        <w:rPr>
          <w:color w:val="000000" w:themeColor="text1"/>
        </w:rPr>
        <w:t>, successful and influential</w:t>
      </w:r>
      <w:r w:rsidR="003D1A95" w:rsidRPr="0090305A">
        <w:rPr>
          <w:color w:val="000000" w:themeColor="text1"/>
        </w:rPr>
        <w:t xml:space="preserve"> communication department </w:t>
      </w:r>
      <w:r w:rsidR="00D363BB" w:rsidRPr="0090305A">
        <w:rPr>
          <w:color w:val="000000" w:themeColor="text1"/>
        </w:rPr>
        <w:t>were</w:t>
      </w:r>
      <w:r w:rsidR="00EC5AB2" w:rsidRPr="0090305A">
        <w:rPr>
          <w:color w:val="000000" w:themeColor="text1"/>
        </w:rPr>
        <w:t xml:space="preserve"> not</w:t>
      </w:r>
      <w:r w:rsidR="00130C44" w:rsidRPr="0090305A">
        <w:rPr>
          <w:color w:val="000000" w:themeColor="text1"/>
        </w:rPr>
        <w:t xml:space="preserve"> predictor</w:t>
      </w:r>
      <w:r w:rsidR="00FA2633" w:rsidRPr="0090305A">
        <w:rPr>
          <w:color w:val="000000" w:themeColor="text1"/>
        </w:rPr>
        <w:t>s</w:t>
      </w:r>
      <w:r w:rsidR="00130C44" w:rsidRPr="0090305A">
        <w:rPr>
          <w:color w:val="000000" w:themeColor="text1"/>
        </w:rPr>
        <w:t xml:space="preserve"> of resilience</w:t>
      </w:r>
      <w:r w:rsidR="002754AC" w:rsidRPr="0090305A">
        <w:rPr>
          <w:color w:val="000000" w:themeColor="text1"/>
        </w:rPr>
        <w:t>.</w:t>
      </w:r>
      <w:r w:rsidR="00130C44" w:rsidRPr="0090305A">
        <w:rPr>
          <w:color w:val="000000" w:themeColor="text1"/>
        </w:rPr>
        <w:t xml:space="preserve"> </w:t>
      </w:r>
      <w:r w:rsidR="00FB6DFD" w:rsidRPr="0090305A">
        <w:rPr>
          <w:color w:val="000000" w:themeColor="text1"/>
        </w:rPr>
        <w:t>Additionally, results provide supporting evidence that the CD-RISC has good psychometric properties and can be used as a reliable and valid tool to assess resilience among Latin American public relations practitioners.</w:t>
      </w:r>
    </w:p>
    <w:p w14:paraId="1CC8E581" w14:textId="78CD41CD" w:rsidR="00241938" w:rsidRPr="0090305A" w:rsidRDefault="00241938">
      <w:pPr>
        <w:pStyle w:val="TextoAPA"/>
        <w:outlineLvl w:val="0"/>
        <w:rPr>
          <w:color w:val="000000" w:themeColor="text1"/>
        </w:rPr>
      </w:pPr>
      <w:r w:rsidRPr="0090305A">
        <w:rPr>
          <w:color w:val="000000" w:themeColor="text1"/>
        </w:rPr>
        <w:t>Limitations:</w:t>
      </w:r>
      <w:r w:rsidR="00A46D5A" w:rsidRPr="0090305A">
        <w:rPr>
          <w:color w:val="000000" w:themeColor="text1"/>
        </w:rPr>
        <w:t xml:space="preserve"> As in any study using self-report measures, the results may have been influenced by participants’ acquiescence and need for social desirability. </w:t>
      </w:r>
      <w:r w:rsidR="00856379" w:rsidRPr="0090305A">
        <w:rPr>
          <w:color w:val="000000" w:themeColor="text1"/>
        </w:rPr>
        <w:t>G</w:t>
      </w:r>
      <w:r w:rsidR="00A46D5A" w:rsidRPr="0090305A">
        <w:rPr>
          <w:color w:val="000000" w:themeColor="text1"/>
        </w:rPr>
        <w:t>reater participation is needed from some countries to allow for a more comprehensive comparative analysis.</w:t>
      </w:r>
    </w:p>
    <w:p w14:paraId="3D7DB507" w14:textId="0227C897" w:rsidR="00F47792" w:rsidRPr="0090305A" w:rsidRDefault="00D85F49">
      <w:pPr>
        <w:pStyle w:val="Normal1"/>
        <w:spacing w:after="0" w:line="480" w:lineRule="auto"/>
        <w:contextualSpacing/>
        <w:rPr>
          <w:rFonts w:ascii="Times New Roman" w:eastAsia="Times New Roman" w:hAnsi="Times New Roman" w:cs="Times New Roman"/>
          <w:color w:val="000000" w:themeColor="text1"/>
          <w:sz w:val="24"/>
          <w:szCs w:val="24"/>
        </w:rPr>
      </w:pPr>
      <w:r w:rsidRPr="0090305A">
        <w:rPr>
          <w:rFonts w:ascii="Times New Roman" w:eastAsia="Times New Roman" w:hAnsi="Times New Roman" w:cs="Times New Roman"/>
          <w:color w:val="000000" w:themeColor="text1"/>
          <w:sz w:val="24"/>
          <w:szCs w:val="24"/>
        </w:rPr>
        <w:t xml:space="preserve"> </w:t>
      </w:r>
      <w:r w:rsidR="00F47792" w:rsidRPr="0090305A">
        <w:rPr>
          <w:rFonts w:ascii="Times New Roman" w:eastAsia="Times New Roman" w:hAnsi="Times New Roman" w:cs="Times New Roman"/>
          <w:i/>
          <w:color w:val="000000" w:themeColor="text1"/>
          <w:sz w:val="24"/>
          <w:szCs w:val="24"/>
        </w:rPr>
        <w:t>Keywords</w:t>
      </w:r>
      <w:r w:rsidR="00F47792" w:rsidRPr="0090305A">
        <w:rPr>
          <w:rFonts w:ascii="Times New Roman" w:eastAsia="Times New Roman" w:hAnsi="Times New Roman" w:cs="Times New Roman"/>
          <w:color w:val="000000" w:themeColor="text1"/>
          <w:sz w:val="24"/>
          <w:szCs w:val="24"/>
        </w:rPr>
        <w:t xml:space="preserve">: </w:t>
      </w:r>
      <w:r w:rsidR="006910F0" w:rsidRPr="0090305A">
        <w:rPr>
          <w:rFonts w:ascii="Times New Roman" w:eastAsia="Times New Roman" w:hAnsi="Times New Roman" w:cs="Times New Roman"/>
          <w:color w:val="000000" w:themeColor="text1"/>
          <w:sz w:val="24"/>
          <w:szCs w:val="24"/>
        </w:rPr>
        <w:t>resilience</w:t>
      </w:r>
      <w:r w:rsidR="00F47792" w:rsidRPr="0090305A">
        <w:rPr>
          <w:rFonts w:ascii="Times New Roman" w:eastAsia="Times New Roman" w:hAnsi="Times New Roman" w:cs="Times New Roman"/>
          <w:color w:val="000000" w:themeColor="text1"/>
          <w:sz w:val="24"/>
          <w:szCs w:val="24"/>
        </w:rPr>
        <w:t xml:space="preserve">, </w:t>
      </w:r>
      <w:r w:rsidR="0089447D" w:rsidRPr="0090305A">
        <w:rPr>
          <w:rFonts w:ascii="Times New Roman" w:eastAsia="Times New Roman" w:hAnsi="Times New Roman" w:cs="Times New Roman"/>
          <w:color w:val="000000" w:themeColor="text1"/>
          <w:sz w:val="24"/>
          <w:szCs w:val="24"/>
        </w:rPr>
        <w:t xml:space="preserve">public </w:t>
      </w:r>
      <w:r w:rsidR="00F47792" w:rsidRPr="0090305A">
        <w:rPr>
          <w:rFonts w:ascii="Times New Roman" w:eastAsia="Times New Roman" w:hAnsi="Times New Roman" w:cs="Times New Roman"/>
          <w:color w:val="000000" w:themeColor="text1"/>
          <w:sz w:val="24"/>
          <w:szCs w:val="24"/>
        </w:rPr>
        <w:t xml:space="preserve">relations, Latin America, </w:t>
      </w:r>
      <w:r w:rsidR="0089447D" w:rsidRPr="0090305A">
        <w:rPr>
          <w:rFonts w:ascii="Times New Roman" w:eastAsia="Times New Roman" w:hAnsi="Times New Roman" w:cs="Times New Roman"/>
          <w:color w:val="000000" w:themeColor="text1"/>
          <w:sz w:val="24"/>
          <w:szCs w:val="24"/>
        </w:rPr>
        <w:t>education</w:t>
      </w:r>
    </w:p>
    <w:p w14:paraId="23D89D15" w14:textId="77777777" w:rsidR="00701FB0" w:rsidRPr="0090305A" w:rsidRDefault="002A4149">
      <w:pPr>
        <w:pStyle w:val="Normal1"/>
        <w:spacing w:after="0" w:line="480" w:lineRule="auto"/>
        <w:contextualSpacing/>
        <w:jc w:val="center"/>
        <w:outlineLvl w:val="0"/>
        <w:rPr>
          <w:rFonts w:ascii="Times New Roman" w:hAnsi="Times New Roman" w:cs="Times New Roman"/>
          <w:b/>
          <w:color w:val="000000" w:themeColor="text1"/>
          <w:sz w:val="24"/>
          <w:szCs w:val="24"/>
        </w:rPr>
      </w:pPr>
      <w:r w:rsidRPr="0090305A">
        <w:rPr>
          <w:rFonts w:ascii="Times New Roman" w:eastAsia="Times New Roman" w:hAnsi="Times New Roman" w:cs="Times New Roman"/>
          <w:b/>
          <w:color w:val="000000" w:themeColor="text1"/>
          <w:sz w:val="24"/>
          <w:szCs w:val="24"/>
        </w:rPr>
        <w:lastRenderedPageBreak/>
        <w:t>Introduction</w:t>
      </w:r>
    </w:p>
    <w:p w14:paraId="4978D1C9" w14:textId="0CB842D2" w:rsidR="00E85EC9" w:rsidRPr="0090305A" w:rsidRDefault="006910F0">
      <w:pPr>
        <w:pStyle w:val="TextoAPA"/>
        <w:rPr>
          <w:color w:val="000000" w:themeColor="text1"/>
        </w:rPr>
      </w:pPr>
      <w:r w:rsidRPr="0090305A">
        <w:rPr>
          <w:color w:val="000000" w:themeColor="text1"/>
        </w:rPr>
        <w:t>We are living fascinating times. The deep and transformative changes that have impacted societies in the last decades</w:t>
      </w:r>
      <w:r w:rsidR="00577ED1" w:rsidRPr="0090305A">
        <w:rPr>
          <w:color w:val="000000" w:themeColor="text1"/>
        </w:rPr>
        <w:t xml:space="preserve"> have</w:t>
      </w:r>
      <w:r w:rsidRPr="0090305A">
        <w:rPr>
          <w:color w:val="000000" w:themeColor="text1"/>
        </w:rPr>
        <w:t xml:space="preserve"> </w:t>
      </w:r>
      <w:r w:rsidR="00577ED1" w:rsidRPr="0090305A">
        <w:rPr>
          <w:color w:val="000000" w:themeColor="text1"/>
        </w:rPr>
        <w:t>occurred</w:t>
      </w:r>
      <w:r w:rsidRPr="0090305A">
        <w:rPr>
          <w:color w:val="000000" w:themeColor="text1"/>
        </w:rPr>
        <w:t xml:space="preserve"> </w:t>
      </w:r>
      <w:r w:rsidR="00577ED1" w:rsidRPr="0090305A">
        <w:rPr>
          <w:color w:val="000000" w:themeColor="text1"/>
        </w:rPr>
        <w:t>at an</w:t>
      </w:r>
      <w:r w:rsidRPr="0090305A">
        <w:rPr>
          <w:color w:val="000000" w:themeColor="text1"/>
        </w:rPr>
        <w:t xml:space="preserve"> unprecedented speed. Diverse concepts devised to explain contemporary societies –liquidity, uncertainty; hypermodernity; dyssynchrony – underscore </w:t>
      </w:r>
      <w:r w:rsidR="009833D9" w:rsidRPr="0090305A">
        <w:rPr>
          <w:color w:val="000000" w:themeColor="text1"/>
        </w:rPr>
        <w:t>adaptation</w:t>
      </w:r>
      <w:r w:rsidRPr="0090305A">
        <w:rPr>
          <w:color w:val="000000" w:themeColor="text1"/>
        </w:rPr>
        <w:t xml:space="preserve"> as an </w:t>
      </w:r>
      <w:r w:rsidR="00745AEB" w:rsidRPr="0090305A">
        <w:rPr>
          <w:color w:val="000000" w:themeColor="text1"/>
        </w:rPr>
        <w:t>essential feature of our times</w:t>
      </w:r>
      <w:r w:rsidRPr="0090305A">
        <w:rPr>
          <w:color w:val="000000" w:themeColor="text1"/>
        </w:rPr>
        <w:t>. In th</w:t>
      </w:r>
      <w:r w:rsidR="005E5C21" w:rsidRPr="0090305A">
        <w:rPr>
          <w:color w:val="000000" w:themeColor="text1"/>
        </w:rPr>
        <w:t>is</w:t>
      </w:r>
      <w:r w:rsidRPr="0090305A">
        <w:rPr>
          <w:color w:val="000000" w:themeColor="text1"/>
        </w:rPr>
        <w:t xml:space="preserve"> post factual society</w:t>
      </w:r>
      <w:r w:rsidR="00745AEB" w:rsidRPr="0090305A">
        <w:rPr>
          <w:color w:val="000000" w:themeColor="text1"/>
        </w:rPr>
        <w:t xml:space="preserve">, </w:t>
      </w:r>
      <w:r w:rsidR="00160559" w:rsidRPr="0090305A">
        <w:rPr>
          <w:color w:val="000000" w:themeColor="text1"/>
        </w:rPr>
        <w:t>public relations practitioners</w:t>
      </w:r>
      <w:r w:rsidRPr="0090305A">
        <w:rPr>
          <w:color w:val="000000" w:themeColor="text1"/>
        </w:rPr>
        <w:t xml:space="preserve"> have to </w:t>
      </w:r>
      <w:r w:rsidR="007B660E" w:rsidRPr="0090305A">
        <w:rPr>
          <w:color w:val="000000" w:themeColor="text1"/>
        </w:rPr>
        <w:t>deal with increasing adversities, crisis, and conflicts, requiring them to be resilient.</w:t>
      </w:r>
      <w:r w:rsidR="00A9736A" w:rsidRPr="0090305A">
        <w:rPr>
          <w:color w:val="000000" w:themeColor="text1"/>
        </w:rPr>
        <w:t xml:space="preserve"> </w:t>
      </w:r>
      <w:r w:rsidRPr="0090305A">
        <w:rPr>
          <w:color w:val="000000" w:themeColor="text1"/>
        </w:rPr>
        <w:t>In this context of ongoing changes, communication professionals can fee</w:t>
      </w:r>
      <w:r w:rsidR="00280ECE" w:rsidRPr="0090305A">
        <w:rPr>
          <w:color w:val="000000" w:themeColor="text1"/>
        </w:rPr>
        <w:t xml:space="preserve">l vertigo </w:t>
      </w:r>
      <w:r w:rsidR="00A9736A" w:rsidRPr="0090305A">
        <w:rPr>
          <w:color w:val="000000" w:themeColor="text1"/>
        </w:rPr>
        <w:t>for</w:t>
      </w:r>
      <w:r w:rsidR="00280ECE" w:rsidRPr="0090305A">
        <w:rPr>
          <w:color w:val="000000" w:themeColor="text1"/>
        </w:rPr>
        <w:t xml:space="preserve"> the</w:t>
      </w:r>
      <w:r w:rsidR="009833D9" w:rsidRPr="0090305A">
        <w:rPr>
          <w:color w:val="000000" w:themeColor="text1"/>
        </w:rPr>
        <w:t xml:space="preserve"> growing</w:t>
      </w:r>
      <w:r w:rsidR="00280ECE" w:rsidRPr="0090305A">
        <w:rPr>
          <w:color w:val="000000" w:themeColor="text1"/>
        </w:rPr>
        <w:t xml:space="preserve"> requirement of continuous</w:t>
      </w:r>
      <w:r w:rsidR="00A9736A" w:rsidRPr="0090305A">
        <w:rPr>
          <w:color w:val="000000" w:themeColor="text1"/>
        </w:rPr>
        <w:t xml:space="preserve"> improvement</w:t>
      </w:r>
      <w:r w:rsidRPr="0090305A">
        <w:rPr>
          <w:color w:val="000000" w:themeColor="text1"/>
        </w:rPr>
        <w:t>. As knowledge workers, they are de</w:t>
      </w:r>
      <w:r w:rsidR="009833D9" w:rsidRPr="0090305A">
        <w:rPr>
          <w:color w:val="000000" w:themeColor="text1"/>
        </w:rPr>
        <w:t>eply affected by</w:t>
      </w:r>
      <w:r w:rsidR="000C17C3" w:rsidRPr="0090305A">
        <w:rPr>
          <w:color w:val="000000" w:themeColor="text1"/>
        </w:rPr>
        <w:t xml:space="preserve"> the</w:t>
      </w:r>
      <w:r w:rsidR="009833D9" w:rsidRPr="0090305A">
        <w:rPr>
          <w:color w:val="000000" w:themeColor="text1"/>
        </w:rPr>
        <w:t xml:space="preserve"> economic, cultural and technological </w:t>
      </w:r>
      <w:r w:rsidR="000C17C3" w:rsidRPr="0090305A">
        <w:rPr>
          <w:color w:val="000000" w:themeColor="text1"/>
        </w:rPr>
        <w:t>revolution</w:t>
      </w:r>
      <w:r w:rsidR="009833D9" w:rsidRPr="0090305A">
        <w:rPr>
          <w:color w:val="000000" w:themeColor="text1"/>
        </w:rPr>
        <w:t>. T</w:t>
      </w:r>
      <w:r w:rsidR="004F3588" w:rsidRPr="0090305A">
        <w:rPr>
          <w:color w:val="000000" w:themeColor="text1"/>
        </w:rPr>
        <w:t>h</w:t>
      </w:r>
      <w:r w:rsidR="000C17C3" w:rsidRPr="0090305A">
        <w:rPr>
          <w:color w:val="000000" w:themeColor="text1"/>
        </w:rPr>
        <w:t>e</w:t>
      </w:r>
      <w:r w:rsidRPr="0090305A">
        <w:rPr>
          <w:color w:val="000000" w:themeColor="text1"/>
        </w:rPr>
        <w:t xml:space="preserve"> </w:t>
      </w:r>
      <w:r w:rsidR="009833D9" w:rsidRPr="0090305A">
        <w:rPr>
          <w:color w:val="000000" w:themeColor="text1"/>
        </w:rPr>
        <w:t>rapidly evolving job market</w:t>
      </w:r>
      <w:r w:rsidRPr="0090305A">
        <w:rPr>
          <w:color w:val="000000" w:themeColor="text1"/>
        </w:rPr>
        <w:t xml:space="preserve"> </w:t>
      </w:r>
      <w:r w:rsidR="009608F9" w:rsidRPr="0090305A">
        <w:rPr>
          <w:color w:val="000000" w:themeColor="text1"/>
        </w:rPr>
        <w:t>also requires</w:t>
      </w:r>
      <w:r w:rsidRPr="0090305A">
        <w:rPr>
          <w:color w:val="000000" w:themeColor="text1"/>
        </w:rPr>
        <w:t xml:space="preserve"> new </w:t>
      </w:r>
      <w:r w:rsidR="009608F9" w:rsidRPr="0090305A">
        <w:rPr>
          <w:color w:val="000000" w:themeColor="text1"/>
        </w:rPr>
        <w:t>individual and environmental resources that facilitate positive adaptation to adversities</w:t>
      </w:r>
      <w:r w:rsidRPr="0090305A">
        <w:rPr>
          <w:color w:val="000000" w:themeColor="text1"/>
        </w:rPr>
        <w:t xml:space="preserve">. </w:t>
      </w:r>
      <w:r w:rsidR="00280ECE" w:rsidRPr="0090305A">
        <w:rPr>
          <w:color w:val="000000" w:themeColor="text1"/>
        </w:rPr>
        <w:t>Significant changes in the current work environment are likely to make it even harder in the future.</w:t>
      </w:r>
    </w:p>
    <w:p w14:paraId="298F93F1" w14:textId="2515D4E4" w:rsidR="00E85EC9" w:rsidRPr="0090305A" w:rsidRDefault="00295E9D">
      <w:pPr>
        <w:pStyle w:val="TextoAPA"/>
        <w:rPr>
          <w:color w:val="000000" w:themeColor="text1"/>
        </w:rPr>
      </w:pPr>
      <w:r w:rsidRPr="0090305A">
        <w:rPr>
          <w:color w:val="000000" w:themeColor="text1"/>
        </w:rPr>
        <w:t>R</w:t>
      </w:r>
      <w:r w:rsidR="00E85EC9" w:rsidRPr="0090305A">
        <w:rPr>
          <w:color w:val="000000" w:themeColor="text1"/>
        </w:rPr>
        <w:t xml:space="preserve">esearch on the concept of resilience </w:t>
      </w:r>
      <w:r w:rsidR="00084396" w:rsidRPr="0090305A">
        <w:rPr>
          <w:color w:val="000000" w:themeColor="text1"/>
        </w:rPr>
        <w:t xml:space="preserve">has gained substantial momentum over the past decades and </w:t>
      </w:r>
      <w:r w:rsidR="005348EC" w:rsidRPr="0090305A">
        <w:rPr>
          <w:color w:val="000000" w:themeColor="text1"/>
        </w:rPr>
        <w:t>has become a multidisciplinary field of research spanning a variety of theoretical and conceptual positions (Wilson, 2018).</w:t>
      </w:r>
      <w:r w:rsidR="00A317E8" w:rsidRPr="0090305A">
        <w:rPr>
          <w:color w:val="000000" w:themeColor="text1"/>
        </w:rPr>
        <w:t xml:space="preserve"> </w:t>
      </w:r>
      <w:r w:rsidR="00352DD2" w:rsidRPr="0090305A">
        <w:rPr>
          <w:color w:val="000000" w:themeColor="text1"/>
        </w:rPr>
        <w:t xml:space="preserve">Previous studies have used a number of constructed psychometric scales to capture </w:t>
      </w:r>
      <w:r w:rsidR="00E37513" w:rsidRPr="0090305A">
        <w:rPr>
          <w:color w:val="000000" w:themeColor="text1"/>
        </w:rPr>
        <w:t>this construct,</w:t>
      </w:r>
      <w:r w:rsidR="00352DD2" w:rsidRPr="0090305A">
        <w:rPr>
          <w:color w:val="000000" w:themeColor="text1"/>
        </w:rPr>
        <w:t xml:space="preserve"> including the Connor-Davidson Resilience Scale (CD-RISC; Connor &amp; Davidson, 2003),</w:t>
      </w:r>
      <w:r w:rsidR="00A317E8" w:rsidRPr="0090305A">
        <w:rPr>
          <w:color w:val="000000" w:themeColor="text1"/>
        </w:rPr>
        <w:t xml:space="preserve"> </w:t>
      </w:r>
      <w:r w:rsidR="00352DD2" w:rsidRPr="0090305A">
        <w:rPr>
          <w:color w:val="000000" w:themeColor="text1"/>
        </w:rPr>
        <w:t xml:space="preserve">shown resilience to be positively correlated with greater social </w:t>
      </w:r>
      <w:r w:rsidR="00FA5A27" w:rsidRPr="0090305A">
        <w:rPr>
          <w:color w:val="000000" w:themeColor="text1"/>
        </w:rPr>
        <w:t>engagement, higher optimism</w:t>
      </w:r>
      <w:r w:rsidR="00352DD2" w:rsidRPr="0090305A">
        <w:rPr>
          <w:color w:val="000000" w:themeColor="text1"/>
        </w:rPr>
        <w:t>, and functional independence (</w:t>
      </w:r>
      <w:r w:rsidR="000909EF" w:rsidRPr="0090305A">
        <w:rPr>
          <w:color w:val="000000" w:themeColor="text1"/>
        </w:rPr>
        <w:t>Hardy, Concato, &amp; Gill</w:t>
      </w:r>
      <w:r w:rsidR="00352DD2" w:rsidRPr="0090305A">
        <w:rPr>
          <w:color w:val="000000" w:themeColor="text1"/>
        </w:rPr>
        <w:t>, 2004; Lamond et al., 200</w:t>
      </w:r>
      <w:r w:rsidR="00004B12" w:rsidRPr="0090305A">
        <w:rPr>
          <w:color w:val="000000" w:themeColor="text1"/>
        </w:rPr>
        <w:t>8</w:t>
      </w:r>
      <w:r w:rsidR="00352DD2" w:rsidRPr="0090305A">
        <w:rPr>
          <w:color w:val="000000" w:themeColor="text1"/>
        </w:rPr>
        <w:t>; Wagnild, 2003; Wells, 2009).</w:t>
      </w:r>
      <w:r w:rsidR="00F65650" w:rsidRPr="0090305A">
        <w:rPr>
          <w:color w:val="000000" w:themeColor="text1"/>
        </w:rPr>
        <w:t xml:space="preserve"> </w:t>
      </w:r>
      <w:r w:rsidR="00A317E8" w:rsidRPr="0090305A">
        <w:rPr>
          <w:color w:val="000000" w:themeColor="text1"/>
        </w:rPr>
        <w:t xml:space="preserve">However, </w:t>
      </w:r>
      <w:r w:rsidR="00B772ED" w:rsidRPr="0090305A">
        <w:rPr>
          <w:color w:val="000000" w:themeColor="text1"/>
        </w:rPr>
        <w:t xml:space="preserve">practitioner resilience has </w:t>
      </w:r>
      <w:r w:rsidR="00A317E8" w:rsidRPr="0090305A">
        <w:rPr>
          <w:color w:val="000000" w:themeColor="text1"/>
        </w:rPr>
        <w:t xml:space="preserve">not formally addressed </w:t>
      </w:r>
      <w:r w:rsidR="00B772ED" w:rsidRPr="0090305A">
        <w:rPr>
          <w:color w:val="000000" w:themeColor="text1"/>
        </w:rPr>
        <w:t>in the public relations research</w:t>
      </w:r>
      <w:r w:rsidR="004E71F2" w:rsidRPr="0090305A">
        <w:rPr>
          <w:color w:val="000000" w:themeColor="text1"/>
        </w:rPr>
        <w:t>,</w:t>
      </w:r>
      <w:r w:rsidR="005C1E56" w:rsidRPr="0090305A">
        <w:rPr>
          <w:color w:val="000000" w:themeColor="text1"/>
        </w:rPr>
        <w:t xml:space="preserve"> with the sole exception of</w:t>
      </w:r>
      <w:r w:rsidR="00C74EEC" w:rsidRPr="0090305A">
        <w:rPr>
          <w:color w:val="000000" w:themeColor="text1"/>
        </w:rPr>
        <w:t xml:space="preserve"> the qualitative </w:t>
      </w:r>
      <w:r w:rsidR="00CE2ACF" w:rsidRPr="0090305A">
        <w:rPr>
          <w:color w:val="000000" w:themeColor="text1"/>
        </w:rPr>
        <w:t xml:space="preserve">research conducted by </w:t>
      </w:r>
      <w:r w:rsidR="005C1E56" w:rsidRPr="0090305A">
        <w:rPr>
          <w:color w:val="000000" w:themeColor="text1"/>
        </w:rPr>
        <w:t>Gou and Anderson</w:t>
      </w:r>
      <w:r w:rsidR="00C74EEC" w:rsidRPr="0090305A">
        <w:rPr>
          <w:color w:val="000000" w:themeColor="text1"/>
        </w:rPr>
        <w:t xml:space="preserve"> </w:t>
      </w:r>
      <w:r w:rsidR="004F4835">
        <w:rPr>
          <w:color w:val="000000" w:themeColor="text1"/>
        </w:rPr>
        <w:t>(</w:t>
      </w:r>
      <w:r w:rsidR="00560754" w:rsidRPr="0090305A">
        <w:rPr>
          <w:color w:val="000000" w:themeColor="text1"/>
        </w:rPr>
        <w:t>2018</w:t>
      </w:r>
      <w:r w:rsidR="004F4835">
        <w:rPr>
          <w:color w:val="000000" w:themeColor="text1"/>
        </w:rPr>
        <w:t>)</w:t>
      </w:r>
      <w:r w:rsidR="00827F7B" w:rsidRPr="0090305A">
        <w:rPr>
          <w:color w:val="000000" w:themeColor="text1"/>
        </w:rPr>
        <w:t xml:space="preserve"> using a critical incident technique approach</w:t>
      </w:r>
      <w:r w:rsidR="00C74EEC" w:rsidRPr="0090305A">
        <w:rPr>
          <w:color w:val="000000" w:themeColor="text1"/>
        </w:rPr>
        <w:t>.</w:t>
      </w:r>
    </w:p>
    <w:p w14:paraId="7F070A58" w14:textId="58A93146" w:rsidR="00EE73D5" w:rsidRPr="0090305A" w:rsidRDefault="00A838FB" w:rsidP="0090305A">
      <w:pPr>
        <w:pStyle w:val="Sombreadomulticolor-nfasis31"/>
        <w:spacing w:after="0" w:line="480" w:lineRule="auto"/>
        <w:ind w:left="0" w:firstLine="708"/>
        <w:contextualSpacing w:val="0"/>
        <w:rPr>
          <w:rFonts w:ascii="Times New Roman" w:hAnsi="Times New Roman"/>
          <w:noProof w:val="0"/>
          <w:color w:val="000000" w:themeColor="text1"/>
          <w:sz w:val="24"/>
          <w:szCs w:val="24"/>
        </w:rPr>
      </w:pPr>
      <w:r w:rsidRPr="0090305A">
        <w:rPr>
          <w:rFonts w:ascii="Times New Roman" w:hAnsi="Times New Roman"/>
          <w:noProof w:val="0"/>
          <w:color w:val="000000" w:themeColor="text1"/>
          <w:sz w:val="24"/>
          <w:szCs w:val="24"/>
        </w:rPr>
        <w:lastRenderedPageBreak/>
        <w:t xml:space="preserve">Despite the increasing use of the CD-RISC in resilience research, no studies have </w:t>
      </w:r>
      <w:r w:rsidR="00AB05D0" w:rsidRPr="0090305A">
        <w:rPr>
          <w:rFonts w:ascii="Times New Roman" w:hAnsi="Times New Roman"/>
          <w:noProof w:val="0"/>
          <w:color w:val="000000" w:themeColor="text1"/>
          <w:sz w:val="24"/>
          <w:szCs w:val="24"/>
        </w:rPr>
        <w:t>analyzed</w:t>
      </w:r>
      <w:r w:rsidRPr="0090305A">
        <w:rPr>
          <w:rFonts w:ascii="Times New Roman" w:hAnsi="Times New Roman"/>
          <w:noProof w:val="0"/>
          <w:color w:val="000000" w:themeColor="text1"/>
          <w:sz w:val="24"/>
          <w:szCs w:val="24"/>
        </w:rPr>
        <w:t xml:space="preserve"> the psychometric properties of this measure in the public relations field. Broadly, an examination of the factorial validity of the CD-RISC in a context not previously studied has implications for the robustness of the resilient qualities it assesses.</w:t>
      </w:r>
      <w:r w:rsidR="00247B2E" w:rsidRPr="0090305A">
        <w:rPr>
          <w:rFonts w:ascii="Times New Roman" w:hAnsi="Times New Roman"/>
          <w:noProof w:val="0"/>
          <w:color w:val="000000" w:themeColor="text1"/>
          <w:sz w:val="24"/>
          <w:szCs w:val="24"/>
        </w:rPr>
        <w:t xml:space="preserve"> In addition to the analysis of the factorial </w:t>
      </w:r>
      <w:r w:rsidR="00C956B3" w:rsidRPr="0090305A">
        <w:rPr>
          <w:rFonts w:ascii="Times New Roman" w:hAnsi="Times New Roman"/>
          <w:noProof w:val="0"/>
          <w:color w:val="000000" w:themeColor="text1"/>
          <w:sz w:val="24"/>
          <w:szCs w:val="24"/>
        </w:rPr>
        <w:t>structure</w:t>
      </w:r>
      <w:r w:rsidR="00247B2E" w:rsidRPr="0090305A">
        <w:rPr>
          <w:rFonts w:ascii="Times New Roman" w:hAnsi="Times New Roman"/>
          <w:noProof w:val="0"/>
          <w:color w:val="000000" w:themeColor="text1"/>
          <w:sz w:val="24"/>
          <w:szCs w:val="24"/>
        </w:rPr>
        <w:t>,</w:t>
      </w:r>
      <w:r w:rsidR="00C956B3" w:rsidRPr="0090305A">
        <w:rPr>
          <w:rFonts w:ascii="Times New Roman" w:hAnsi="Times New Roman"/>
          <w:noProof w:val="0"/>
          <w:color w:val="000000" w:themeColor="text1"/>
          <w:sz w:val="24"/>
          <w:szCs w:val="24"/>
        </w:rPr>
        <w:t xml:space="preserve"> </w:t>
      </w:r>
      <w:r w:rsidR="00666799" w:rsidRPr="0090305A">
        <w:rPr>
          <w:rFonts w:ascii="Times New Roman" w:hAnsi="Times New Roman"/>
          <w:noProof w:val="0"/>
          <w:color w:val="000000" w:themeColor="text1"/>
          <w:sz w:val="24"/>
          <w:szCs w:val="24"/>
        </w:rPr>
        <w:t xml:space="preserve">this paper evaluates </w:t>
      </w:r>
      <w:r w:rsidR="006C1DFF" w:rsidRPr="0090305A">
        <w:rPr>
          <w:rFonts w:ascii="Times New Roman" w:hAnsi="Times New Roman"/>
          <w:noProof w:val="0"/>
          <w:color w:val="000000" w:themeColor="text1"/>
          <w:sz w:val="24"/>
          <w:szCs w:val="24"/>
        </w:rPr>
        <w:t xml:space="preserve">the level of resilience and identify predictors of resilience among Latin American public relations practitioners. </w:t>
      </w:r>
      <w:r w:rsidR="006D6F30" w:rsidRPr="0090305A">
        <w:rPr>
          <w:rFonts w:ascii="Times New Roman" w:hAnsi="Times New Roman"/>
          <w:noProof w:val="0"/>
          <w:color w:val="000000" w:themeColor="text1"/>
          <w:sz w:val="24"/>
          <w:szCs w:val="24"/>
        </w:rPr>
        <w:t>R</w:t>
      </w:r>
      <w:r w:rsidR="00872687" w:rsidRPr="0090305A">
        <w:rPr>
          <w:rFonts w:ascii="Times New Roman" w:hAnsi="Times New Roman"/>
          <w:noProof w:val="0"/>
          <w:color w:val="000000" w:themeColor="text1"/>
          <w:sz w:val="24"/>
          <w:szCs w:val="24"/>
        </w:rPr>
        <w:t>esilience, as a multi-dimensional variable, changes in different populations with diverse living</w:t>
      </w:r>
      <w:r w:rsidR="007D64A8" w:rsidRPr="0090305A">
        <w:rPr>
          <w:rFonts w:ascii="Times New Roman" w:hAnsi="Times New Roman"/>
          <w:noProof w:val="0"/>
          <w:color w:val="000000" w:themeColor="text1"/>
          <w:sz w:val="24"/>
          <w:szCs w:val="24"/>
        </w:rPr>
        <w:t xml:space="preserve"> conditions, cultural background, </w:t>
      </w:r>
      <w:r w:rsidR="007D64A8" w:rsidRPr="0090305A">
        <w:rPr>
          <w:rFonts w:ascii="Times New Roman" w:hAnsi="Times New Roman"/>
          <w:color w:val="000000" w:themeColor="text1"/>
          <w:sz w:val="24"/>
          <w:szCs w:val="24"/>
        </w:rPr>
        <w:t>context, time, age, and life circumstance</w:t>
      </w:r>
      <w:r w:rsidR="007408C3" w:rsidRPr="0090305A">
        <w:rPr>
          <w:rFonts w:ascii="Times New Roman" w:hAnsi="Times New Roman"/>
          <w:color w:val="000000" w:themeColor="text1"/>
          <w:sz w:val="24"/>
          <w:szCs w:val="24"/>
        </w:rPr>
        <w:t>s (Connor Davidson, &amp; Lee, 2003; Masten, 1994</w:t>
      </w:r>
      <w:r w:rsidR="007D64A8" w:rsidRPr="0090305A">
        <w:rPr>
          <w:rFonts w:ascii="Times New Roman" w:hAnsi="Times New Roman"/>
          <w:color w:val="000000" w:themeColor="text1"/>
          <w:sz w:val="24"/>
          <w:szCs w:val="24"/>
        </w:rPr>
        <w:t>; Wagnild, 2003; Werner, 1993)</w:t>
      </w:r>
      <w:r w:rsidR="00872687" w:rsidRPr="0090305A">
        <w:rPr>
          <w:rFonts w:ascii="Times New Roman" w:hAnsi="Times New Roman"/>
          <w:noProof w:val="0"/>
          <w:color w:val="000000" w:themeColor="text1"/>
          <w:sz w:val="24"/>
          <w:szCs w:val="24"/>
        </w:rPr>
        <w:t>.</w:t>
      </w:r>
      <w:r w:rsidR="00960830" w:rsidRPr="0090305A">
        <w:rPr>
          <w:rFonts w:ascii="Times New Roman" w:hAnsi="Times New Roman"/>
          <w:noProof w:val="0"/>
          <w:color w:val="000000" w:themeColor="text1"/>
          <w:sz w:val="24"/>
          <w:szCs w:val="24"/>
        </w:rPr>
        <w:t xml:space="preserve"> </w:t>
      </w:r>
      <w:r w:rsidR="00EB34A3" w:rsidRPr="0090305A">
        <w:rPr>
          <w:rFonts w:ascii="Times New Roman" w:hAnsi="Times New Roman"/>
          <w:noProof w:val="0"/>
          <w:color w:val="000000" w:themeColor="text1"/>
          <w:sz w:val="24"/>
          <w:szCs w:val="24"/>
        </w:rPr>
        <w:t>T</w:t>
      </w:r>
      <w:r w:rsidR="006C1DFF" w:rsidRPr="0090305A">
        <w:rPr>
          <w:rFonts w:ascii="Times New Roman" w:hAnsi="Times New Roman"/>
          <w:noProof w:val="0"/>
          <w:color w:val="000000" w:themeColor="text1"/>
          <w:sz w:val="24"/>
          <w:szCs w:val="24"/>
        </w:rPr>
        <w:t>herefore, t</w:t>
      </w:r>
      <w:r w:rsidR="00EB34A3" w:rsidRPr="0090305A">
        <w:rPr>
          <w:rFonts w:ascii="Times New Roman" w:hAnsi="Times New Roman"/>
          <w:noProof w:val="0"/>
          <w:color w:val="000000" w:themeColor="text1"/>
          <w:sz w:val="24"/>
          <w:szCs w:val="24"/>
        </w:rPr>
        <w:t>he purpose of this study is</w:t>
      </w:r>
      <w:r w:rsidR="007B7571" w:rsidRPr="0090305A">
        <w:rPr>
          <w:rFonts w:ascii="Times New Roman" w:hAnsi="Times New Roman"/>
          <w:noProof w:val="0"/>
          <w:color w:val="000000" w:themeColor="text1"/>
          <w:sz w:val="24"/>
          <w:szCs w:val="24"/>
        </w:rPr>
        <w:t xml:space="preserve"> twofold: (1)</w:t>
      </w:r>
      <w:r w:rsidR="00D14734" w:rsidRPr="0090305A">
        <w:rPr>
          <w:rFonts w:ascii="Times New Roman" w:hAnsi="Times New Roman"/>
          <w:noProof w:val="0"/>
          <w:color w:val="000000" w:themeColor="text1"/>
          <w:sz w:val="24"/>
          <w:szCs w:val="24"/>
        </w:rPr>
        <w:t xml:space="preserve"> </w:t>
      </w:r>
      <w:r w:rsidR="00B31AF8" w:rsidRPr="0090305A">
        <w:rPr>
          <w:rFonts w:ascii="Times New Roman" w:hAnsi="Times New Roman"/>
          <w:noProof w:val="0"/>
          <w:color w:val="000000" w:themeColor="text1"/>
          <w:sz w:val="24"/>
          <w:szCs w:val="24"/>
        </w:rPr>
        <w:t>t</w:t>
      </w:r>
      <w:r w:rsidR="00D14734" w:rsidRPr="0090305A">
        <w:rPr>
          <w:rFonts w:ascii="Times New Roman" w:hAnsi="Times New Roman"/>
          <w:noProof w:val="0"/>
          <w:color w:val="000000" w:themeColor="text1"/>
          <w:sz w:val="24"/>
          <w:szCs w:val="24"/>
        </w:rPr>
        <w:t xml:space="preserve">o evaluate psychometric properties of Connor-Davidson Resilience Scale </w:t>
      </w:r>
      <w:r w:rsidR="00B31AF8" w:rsidRPr="0090305A">
        <w:rPr>
          <w:rFonts w:ascii="Times New Roman" w:hAnsi="Times New Roman"/>
          <w:noProof w:val="0"/>
          <w:color w:val="000000" w:themeColor="text1"/>
          <w:sz w:val="24"/>
          <w:szCs w:val="24"/>
        </w:rPr>
        <w:t>with the aim of determining whether it can be used as a reliable tool to assess public relations practitioners’ resilience,</w:t>
      </w:r>
      <w:r w:rsidR="009A4925" w:rsidRPr="0090305A">
        <w:rPr>
          <w:rFonts w:ascii="Times New Roman" w:hAnsi="Times New Roman"/>
          <w:noProof w:val="0"/>
          <w:color w:val="000000" w:themeColor="text1"/>
          <w:sz w:val="24"/>
          <w:szCs w:val="24"/>
        </w:rPr>
        <w:t xml:space="preserve"> and (2)</w:t>
      </w:r>
      <w:r w:rsidR="000A26A8" w:rsidRPr="0090305A">
        <w:rPr>
          <w:rFonts w:ascii="Times New Roman" w:hAnsi="Times New Roman"/>
          <w:noProof w:val="0"/>
          <w:color w:val="000000" w:themeColor="text1"/>
          <w:sz w:val="24"/>
          <w:szCs w:val="24"/>
        </w:rPr>
        <w:t xml:space="preserve"> </w:t>
      </w:r>
      <w:r w:rsidR="004F4835">
        <w:rPr>
          <w:rFonts w:ascii="Times New Roman" w:hAnsi="Times New Roman"/>
          <w:noProof w:val="0"/>
          <w:color w:val="000000" w:themeColor="text1"/>
          <w:sz w:val="24"/>
          <w:szCs w:val="24"/>
        </w:rPr>
        <w:t>t</w:t>
      </w:r>
      <w:r w:rsidR="004F4835" w:rsidRPr="0090305A">
        <w:rPr>
          <w:rFonts w:ascii="Times New Roman" w:hAnsi="Times New Roman"/>
          <w:noProof w:val="0"/>
          <w:color w:val="000000" w:themeColor="text1"/>
          <w:sz w:val="24"/>
          <w:szCs w:val="24"/>
        </w:rPr>
        <w:t xml:space="preserve">o </w:t>
      </w:r>
      <w:r w:rsidR="00F84F2D" w:rsidRPr="0090305A">
        <w:rPr>
          <w:rFonts w:ascii="Times New Roman" w:hAnsi="Times New Roman"/>
          <w:noProof w:val="0"/>
          <w:color w:val="000000" w:themeColor="text1"/>
          <w:sz w:val="24"/>
          <w:szCs w:val="24"/>
        </w:rPr>
        <w:t>investigate</w:t>
      </w:r>
      <w:r w:rsidR="000A26A8" w:rsidRPr="0090305A">
        <w:rPr>
          <w:rFonts w:ascii="Times New Roman" w:hAnsi="Times New Roman"/>
          <w:noProof w:val="0"/>
          <w:color w:val="000000" w:themeColor="text1"/>
          <w:sz w:val="24"/>
          <w:szCs w:val="24"/>
        </w:rPr>
        <w:t xml:space="preserve"> how</w:t>
      </w:r>
      <w:r w:rsidR="00DE7541" w:rsidRPr="0090305A">
        <w:rPr>
          <w:rFonts w:ascii="Times New Roman" w:hAnsi="Times New Roman"/>
          <w:noProof w:val="0"/>
          <w:color w:val="000000" w:themeColor="text1"/>
          <w:sz w:val="24"/>
          <w:szCs w:val="24"/>
        </w:rPr>
        <w:t xml:space="preserve"> different</w:t>
      </w:r>
      <w:r w:rsidR="000A26A8" w:rsidRPr="0090305A">
        <w:rPr>
          <w:rFonts w:ascii="Times New Roman" w:hAnsi="Times New Roman"/>
          <w:noProof w:val="0"/>
          <w:color w:val="000000" w:themeColor="text1"/>
          <w:sz w:val="24"/>
          <w:szCs w:val="24"/>
        </w:rPr>
        <w:t xml:space="preserve"> </w:t>
      </w:r>
      <w:r w:rsidR="00D6532C" w:rsidRPr="0090305A">
        <w:rPr>
          <w:rFonts w:ascii="Times New Roman" w:hAnsi="Times New Roman"/>
          <w:noProof w:val="0"/>
          <w:color w:val="000000" w:themeColor="text1"/>
          <w:sz w:val="24"/>
          <w:szCs w:val="24"/>
        </w:rPr>
        <w:t>socio</w:t>
      </w:r>
      <w:r w:rsidR="000A26A8" w:rsidRPr="0090305A">
        <w:rPr>
          <w:rFonts w:ascii="Times New Roman" w:hAnsi="Times New Roman"/>
          <w:noProof w:val="0"/>
          <w:color w:val="000000" w:themeColor="text1"/>
          <w:sz w:val="24"/>
          <w:szCs w:val="24"/>
        </w:rPr>
        <w:t>demographic</w:t>
      </w:r>
      <w:r w:rsidR="007D64A8" w:rsidRPr="0090305A">
        <w:rPr>
          <w:rFonts w:ascii="Times New Roman" w:hAnsi="Times New Roman"/>
          <w:noProof w:val="0"/>
          <w:color w:val="000000" w:themeColor="text1"/>
          <w:sz w:val="24"/>
          <w:szCs w:val="24"/>
        </w:rPr>
        <w:t xml:space="preserve"> and work-related</w:t>
      </w:r>
      <w:r w:rsidR="000A26A8" w:rsidRPr="0090305A">
        <w:rPr>
          <w:rFonts w:ascii="Times New Roman" w:hAnsi="Times New Roman"/>
          <w:noProof w:val="0"/>
          <w:color w:val="000000" w:themeColor="text1"/>
          <w:sz w:val="24"/>
          <w:szCs w:val="24"/>
        </w:rPr>
        <w:t xml:space="preserve"> </w:t>
      </w:r>
      <w:r w:rsidR="00F84F2D" w:rsidRPr="0090305A">
        <w:rPr>
          <w:rFonts w:ascii="Times New Roman" w:hAnsi="Times New Roman"/>
          <w:noProof w:val="0"/>
          <w:color w:val="000000" w:themeColor="text1"/>
          <w:sz w:val="24"/>
          <w:szCs w:val="24"/>
        </w:rPr>
        <w:t>variables</w:t>
      </w:r>
      <w:r w:rsidR="000A26A8" w:rsidRPr="0090305A">
        <w:rPr>
          <w:rFonts w:ascii="Times New Roman" w:hAnsi="Times New Roman"/>
          <w:noProof w:val="0"/>
          <w:color w:val="000000" w:themeColor="text1"/>
          <w:sz w:val="24"/>
          <w:szCs w:val="24"/>
        </w:rPr>
        <w:t xml:space="preserve"> </w:t>
      </w:r>
      <w:r w:rsidR="00DE7541" w:rsidRPr="0090305A">
        <w:rPr>
          <w:rFonts w:ascii="Times New Roman" w:hAnsi="Times New Roman"/>
          <w:noProof w:val="0"/>
          <w:color w:val="000000" w:themeColor="text1"/>
          <w:sz w:val="24"/>
          <w:szCs w:val="24"/>
        </w:rPr>
        <w:t>influence the</w:t>
      </w:r>
      <w:r w:rsidR="002D4043" w:rsidRPr="0090305A">
        <w:rPr>
          <w:rFonts w:ascii="Times New Roman" w:hAnsi="Times New Roman"/>
          <w:noProof w:val="0"/>
          <w:color w:val="000000" w:themeColor="text1"/>
          <w:sz w:val="24"/>
          <w:szCs w:val="24"/>
        </w:rPr>
        <w:t>ir</w:t>
      </w:r>
      <w:r w:rsidR="00DE7541" w:rsidRPr="0090305A">
        <w:rPr>
          <w:rFonts w:ascii="Times New Roman" w:hAnsi="Times New Roman"/>
          <w:noProof w:val="0"/>
          <w:color w:val="000000" w:themeColor="text1"/>
          <w:sz w:val="24"/>
          <w:szCs w:val="24"/>
        </w:rPr>
        <w:t xml:space="preserve"> level of resilience.</w:t>
      </w:r>
    </w:p>
    <w:p w14:paraId="0B97BB02" w14:textId="77777777" w:rsidR="00F700EA" w:rsidRPr="0090305A" w:rsidRDefault="002A4149" w:rsidP="00EE7802">
      <w:pPr>
        <w:pStyle w:val="Normal1"/>
        <w:spacing w:after="0" w:line="480" w:lineRule="auto"/>
        <w:contextualSpacing/>
        <w:jc w:val="center"/>
        <w:outlineLvl w:val="0"/>
        <w:rPr>
          <w:rFonts w:ascii="Times New Roman" w:hAnsi="Times New Roman" w:cs="Times New Roman"/>
          <w:color w:val="000000" w:themeColor="text1"/>
          <w:sz w:val="24"/>
          <w:szCs w:val="24"/>
        </w:rPr>
      </w:pPr>
      <w:r w:rsidRPr="0090305A">
        <w:rPr>
          <w:rFonts w:ascii="Times New Roman" w:eastAsia="Times New Roman" w:hAnsi="Times New Roman" w:cs="Times New Roman"/>
          <w:b/>
          <w:color w:val="000000" w:themeColor="text1"/>
          <w:sz w:val="24"/>
          <w:szCs w:val="24"/>
        </w:rPr>
        <w:t>Literature review</w:t>
      </w:r>
    </w:p>
    <w:p w14:paraId="704D6138" w14:textId="6ABE58FC" w:rsidR="00A950B3" w:rsidRPr="0090305A" w:rsidRDefault="008F2F08" w:rsidP="00742AE9">
      <w:pPr>
        <w:pStyle w:val="Normal11"/>
        <w:spacing w:after="0" w:line="480" w:lineRule="auto"/>
        <w:ind w:firstLine="720"/>
        <w:contextualSpacing/>
        <w:outlineLvl w:val="0"/>
        <w:rPr>
          <w:rFonts w:ascii="Times New Roman" w:hAnsi="Times New Roman" w:cs="Times New Roman"/>
          <w:b/>
          <w:color w:val="000000" w:themeColor="text1"/>
          <w:sz w:val="24"/>
          <w:szCs w:val="24"/>
        </w:rPr>
      </w:pPr>
      <w:r w:rsidRPr="0090305A">
        <w:rPr>
          <w:rFonts w:ascii="Times New Roman" w:eastAsia="Times New Roman" w:hAnsi="Times New Roman" w:cs="Times New Roman"/>
          <w:b/>
          <w:color w:val="000000" w:themeColor="text1"/>
          <w:sz w:val="24"/>
          <w:szCs w:val="24"/>
        </w:rPr>
        <w:t xml:space="preserve">The </w:t>
      </w:r>
      <w:r w:rsidR="00EA5D57" w:rsidRPr="0090305A">
        <w:rPr>
          <w:rFonts w:ascii="Times New Roman" w:eastAsia="Times New Roman" w:hAnsi="Times New Roman" w:cs="Times New Roman"/>
          <w:b/>
          <w:color w:val="000000" w:themeColor="text1"/>
          <w:sz w:val="24"/>
          <w:szCs w:val="24"/>
        </w:rPr>
        <w:t xml:space="preserve">concept of </w:t>
      </w:r>
      <w:r w:rsidR="00665D05" w:rsidRPr="0090305A">
        <w:rPr>
          <w:rFonts w:ascii="Times New Roman" w:eastAsia="Times New Roman" w:hAnsi="Times New Roman" w:cs="Times New Roman"/>
          <w:b/>
          <w:color w:val="000000" w:themeColor="text1"/>
          <w:sz w:val="24"/>
          <w:szCs w:val="24"/>
        </w:rPr>
        <w:t>resilience</w:t>
      </w:r>
    </w:p>
    <w:p w14:paraId="128D10DE" w14:textId="1783396F" w:rsidR="00AD4A56" w:rsidRPr="0090305A" w:rsidRDefault="00615557">
      <w:pPr>
        <w:pStyle w:val="TextoAPA"/>
        <w:rPr>
          <w:color w:val="000000" w:themeColor="text1"/>
        </w:rPr>
      </w:pPr>
      <w:r w:rsidRPr="0090305A">
        <w:rPr>
          <w:color w:val="000000" w:themeColor="text1"/>
        </w:rPr>
        <w:t>Resilience is a contested</w:t>
      </w:r>
      <w:r w:rsidR="00315FF3" w:rsidRPr="0090305A">
        <w:rPr>
          <w:color w:val="000000" w:themeColor="text1"/>
        </w:rPr>
        <w:t>, ambiguous</w:t>
      </w:r>
      <w:r w:rsidRPr="0090305A">
        <w:rPr>
          <w:color w:val="000000" w:themeColor="text1"/>
        </w:rPr>
        <w:t xml:space="preserve"> and complex term</w:t>
      </w:r>
      <w:r w:rsidR="00315FF3" w:rsidRPr="0090305A">
        <w:rPr>
          <w:color w:val="000000" w:themeColor="text1"/>
        </w:rPr>
        <w:t xml:space="preserve">, routed in biology </w:t>
      </w:r>
      <w:r w:rsidR="008058D0" w:rsidRPr="0090305A">
        <w:rPr>
          <w:color w:val="000000" w:themeColor="text1"/>
        </w:rPr>
        <w:t>and natural science disciplines,</w:t>
      </w:r>
      <w:r w:rsidRPr="0090305A">
        <w:rPr>
          <w:color w:val="000000" w:themeColor="text1"/>
        </w:rPr>
        <w:t xml:space="preserve"> that </w:t>
      </w:r>
      <w:r w:rsidR="000826DF" w:rsidRPr="0090305A">
        <w:rPr>
          <w:color w:val="000000" w:themeColor="text1"/>
        </w:rPr>
        <w:t>incorporates</w:t>
      </w:r>
      <w:r w:rsidRPr="0090305A">
        <w:rPr>
          <w:color w:val="000000" w:themeColor="text1"/>
        </w:rPr>
        <w:t xml:space="preserve"> the idea of bouncing back, reintegration, and/or adaptation after a major disruption or adversity (</w:t>
      </w:r>
      <w:r w:rsidR="004E2B6A" w:rsidRPr="0090305A">
        <w:rPr>
          <w:color w:val="000000" w:themeColor="text1"/>
        </w:rPr>
        <w:t xml:space="preserve">Buzzanell, 2010; </w:t>
      </w:r>
      <w:r w:rsidRPr="0090305A">
        <w:rPr>
          <w:color w:val="000000" w:themeColor="text1"/>
        </w:rPr>
        <w:t xml:space="preserve">Guo &amp; Anderson, 2018). </w:t>
      </w:r>
      <w:r w:rsidR="00E570EE" w:rsidRPr="0090305A">
        <w:rPr>
          <w:color w:val="000000" w:themeColor="text1"/>
        </w:rPr>
        <w:t>T</w:t>
      </w:r>
      <w:r w:rsidR="00AD4A56" w:rsidRPr="0090305A">
        <w:rPr>
          <w:color w:val="000000" w:themeColor="text1"/>
        </w:rPr>
        <w:t xml:space="preserve">he range as to what “qualifies” as a disruption creates a broad landscape for potential contexts to study </w:t>
      </w:r>
      <w:r w:rsidR="003E6F29" w:rsidRPr="0090305A">
        <w:rPr>
          <w:color w:val="000000" w:themeColor="text1"/>
        </w:rPr>
        <w:t xml:space="preserve">this </w:t>
      </w:r>
      <w:r w:rsidR="00A622BE" w:rsidRPr="0090305A">
        <w:rPr>
          <w:color w:val="000000" w:themeColor="text1"/>
        </w:rPr>
        <w:t>construct</w:t>
      </w:r>
      <w:r w:rsidR="00AD4A56" w:rsidRPr="0090305A">
        <w:rPr>
          <w:color w:val="000000" w:themeColor="text1"/>
        </w:rPr>
        <w:t xml:space="preserve"> (Ford, 2018). </w:t>
      </w:r>
      <w:r w:rsidR="002E2F2F" w:rsidRPr="0090305A">
        <w:rPr>
          <w:color w:val="000000" w:themeColor="text1"/>
        </w:rPr>
        <w:t xml:space="preserve">For the purpose of this research, we rely on the definition by Stewart, Reid, and Mangham (1997: 22), who described it as “the capability of individuals to cope </w:t>
      </w:r>
      <w:r w:rsidR="002E2F2F" w:rsidRPr="0090305A">
        <w:rPr>
          <w:color w:val="000000" w:themeColor="text1"/>
        </w:rPr>
        <w:lastRenderedPageBreak/>
        <w:t>successfully in the face of change, adversity, and risk”, an ability that can be developed and enhanced (Kossek &amp; Perrigino, 2016).</w:t>
      </w:r>
    </w:p>
    <w:p w14:paraId="777C6F36" w14:textId="3F6E5FDB" w:rsidR="00F82285" w:rsidRPr="0090305A" w:rsidRDefault="00837BBF">
      <w:pPr>
        <w:pStyle w:val="TextoAPA"/>
        <w:rPr>
          <w:color w:val="000000" w:themeColor="text1"/>
        </w:rPr>
      </w:pPr>
      <w:r w:rsidRPr="0090305A">
        <w:rPr>
          <w:color w:val="000000" w:themeColor="text1"/>
        </w:rPr>
        <w:t>The idea</w:t>
      </w:r>
      <w:r w:rsidR="004E2B6A" w:rsidRPr="0090305A">
        <w:rPr>
          <w:color w:val="000000" w:themeColor="text1"/>
        </w:rPr>
        <w:t xml:space="preserve"> of resilience has</w:t>
      </w:r>
      <w:r w:rsidR="008058D0" w:rsidRPr="0090305A">
        <w:rPr>
          <w:color w:val="000000" w:themeColor="text1"/>
        </w:rPr>
        <w:t xml:space="preserve"> been</w:t>
      </w:r>
      <w:r w:rsidR="004E2B6A" w:rsidRPr="0090305A">
        <w:rPr>
          <w:color w:val="000000" w:themeColor="text1"/>
        </w:rPr>
        <w:t xml:space="preserve"> adopted and expanded over the past 40 years in the social sciences </w:t>
      </w:r>
      <w:r w:rsidR="00DE3777" w:rsidRPr="0090305A">
        <w:rPr>
          <w:color w:val="000000" w:themeColor="text1"/>
        </w:rPr>
        <w:t>(</w:t>
      </w:r>
      <w:r w:rsidR="004E2B6A" w:rsidRPr="0090305A">
        <w:rPr>
          <w:color w:val="000000" w:themeColor="text1"/>
        </w:rPr>
        <w:t xml:space="preserve">Annarelli &amp; Nonino, 2016; </w:t>
      </w:r>
      <w:r w:rsidR="00DE3777" w:rsidRPr="0090305A">
        <w:rPr>
          <w:color w:val="000000" w:themeColor="text1"/>
        </w:rPr>
        <w:t>Block &amp; Block, 1980; Rutter, 1987)</w:t>
      </w:r>
      <w:r w:rsidR="00615557" w:rsidRPr="0090305A">
        <w:rPr>
          <w:color w:val="000000" w:themeColor="text1"/>
        </w:rPr>
        <w:t>.</w:t>
      </w:r>
      <w:r w:rsidR="00014EDF" w:rsidRPr="0090305A">
        <w:rPr>
          <w:color w:val="000000" w:themeColor="text1"/>
        </w:rPr>
        <w:t xml:space="preserve"> </w:t>
      </w:r>
      <w:r w:rsidR="0081020B" w:rsidRPr="0090305A">
        <w:rPr>
          <w:color w:val="000000" w:themeColor="text1"/>
        </w:rPr>
        <w:t xml:space="preserve">From an individual </w:t>
      </w:r>
      <w:r w:rsidR="00B915D2" w:rsidRPr="0090305A">
        <w:rPr>
          <w:color w:val="000000" w:themeColor="text1"/>
        </w:rPr>
        <w:t>approach, resilience protects individuals from the psychological damage associated with adversity and increases the likelihood that they will resolve challenging situations adequately (Block &amp; Kremen, 1996).</w:t>
      </w:r>
      <w:r w:rsidR="00717886" w:rsidRPr="0090305A">
        <w:rPr>
          <w:color w:val="000000" w:themeColor="text1"/>
        </w:rPr>
        <w:t xml:space="preserve"> </w:t>
      </w:r>
      <w:r w:rsidR="00BB524E" w:rsidRPr="0090305A">
        <w:rPr>
          <w:color w:val="000000" w:themeColor="text1"/>
        </w:rPr>
        <w:t xml:space="preserve">According to </w:t>
      </w:r>
      <w:r w:rsidR="002F59CC" w:rsidRPr="0090305A">
        <w:rPr>
          <w:color w:val="000000" w:themeColor="text1"/>
        </w:rPr>
        <w:t xml:space="preserve">Pangallo, Zibarras, Lewis, </w:t>
      </w:r>
      <w:r w:rsidR="006D4158" w:rsidRPr="0090305A">
        <w:rPr>
          <w:color w:val="000000" w:themeColor="text1"/>
        </w:rPr>
        <w:t xml:space="preserve">and </w:t>
      </w:r>
      <w:r w:rsidR="002F59CC" w:rsidRPr="0090305A">
        <w:rPr>
          <w:color w:val="000000" w:themeColor="text1"/>
        </w:rPr>
        <w:t>Flaxman</w:t>
      </w:r>
      <w:r w:rsidR="00BB524E" w:rsidRPr="0090305A">
        <w:rPr>
          <w:color w:val="000000" w:themeColor="text1"/>
        </w:rPr>
        <w:t xml:space="preserve"> (2015)</w:t>
      </w:r>
      <w:r w:rsidR="002F59CC" w:rsidRPr="0090305A">
        <w:rPr>
          <w:color w:val="000000" w:themeColor="text1"/>
        </w:rPr>
        <w:t>,</w:t>
      </w:r>
      <w:r w:rsidR="00BB524E" w:rsidRPr="0090305A">
        <w:rPr>
          <w:color w:val="000000" w:themeColor="text1"/>
        </w:rPr>
        <w:t xml:space="preserve"> all the 17 resilience measures developed for use in adults conceptualize resilience as either a: process, trait, state, or outcome. The process models focus on the internal and external resources used to foster positive adaptation to adversity (Campbell-Sills &amp; Stein, 2007; Friborg, Hjemdal, Rosenvinge, &amp; M</w:t>
      </w:r>
      <w:r w:rsidR="007408C3" w:rsidRPr="0090305A">
        <w:rPr>
          <w:color w:val="000000" w:themeColor="text1"/>
        </w:rPr>
        <w:t>artinussen, 2003; Kumpfer, 1999</w:t>
      </w:r>
      <w:r w:rsidR="00BB524E" w:rsidRPr="0090305A">
        <w:rPr>
          <w:color w:val="000000" w:themeColor="text1"/>
        </w:rPr>
        <w:t xml:space="preserve">). The trait models operationalize resilience as a set of internal characteristics (Block &amp; Kremen, 1996; Maddi et al., 2006), while </w:t>
      </w:r>
      <w:r w:rsidR="006D4158" w:rsidRPr="0090305A">
        <w:rPr>
          <w:color w:val="000000" w:themeColor="text1"/>
        </w:rPr>
        <w:t>the state approach</w:t>
      </w:r>
      <w:r w:rsidR="00BB524E" w:rsidRPr="0090305A">
        <w:rPr>
          <w:color w:val="000000" w:themeColor="text1"/>
        </w:rPr>
        <w:t xml:space="preserve"> propose</w:t>
      </w:r>
      <w:r w:rsidR="006D4158" w:rsidRPr="0090305A">
        <w:rPr>
          <w:color w:val="000000" w:themeColor="text1"/>
        </w:rPr>
        <w:t>s</w:t>
      </w:r>
      <w:r w:rsidR="00BB524E" w:rsidRPr="0090305A">
        <w:rPr>
          <w:color w:val="000000" w:themeColor="text1"/>
        </w:rPr>
        <w:t xml:space="preserve"> that positive psychology constructs (hope, optimism, and self-efficacy) are pathways to resilience, which together form a state-like construct (Luthans, Vogelgesang, &amp; Lester, 2006). Finally, resilience as an outcome variable refers to the ability to “bounce back” from physical and psychological stres</w:t>
      </w:r>
      <w:r w:rsidR="007408C3" w:rsidRPr="0090305A">
        <w:rPr>
          <w:color w:val="000000" w:themeColor="text1"/>
        </w:rPr>
        <w:t>sors (Sinclair &amp; Wallston, 2004</w:t>
      </w:r>
      <w:r w:rsidR="00BB524E" w:rsidRPr="0090305A">
        <w:rPr>
          <w:color w:val="000000" w:themeColor="text1"/>
        </w:rPr>
        <w:t>).</w:t>
      </w:r>
      <w:r w:rsidR="00F82285" w:rsidRPr="0090305A">
        <w:rPr>
          <w:color w:val="000000" w:themeColor="text1"/>
        </w:rPr>
        <w:t xml:space="preserve"> However, and despite the use of different theoretical frameworks, it is widely accepted that resilience is best defined as</w:t>
      </w:r>
      <w:r w:rsidR="006D4158" w:rsidRPr="0090305A">
        <w:rPr>
          <w:color w:val="000000" w:themeColor="text1"/>
        </w:rPr>
        <w:t xml:space="preserve"> a</w:t>
      </w:r>
      <w:r w:rsidR="00F82285" w:rsidRPr="0090305A">
        <w:rPr>
          <w:color w:val="000000" w:themeColor="text1"/>
        </w:rPr>
        <w:t xml:space="preserve"> process characterized by a complex interaction of internal and external resources moderated by devel</w:t>
      </w:r>
      <w:r w:rsidR="002F59CC" w:rsidRPr="0090305A">
        <w:rPr>
          <w:color w:val="000000" w:themeColor="text1"/>
        </w:rPr>
        <w:t xml:space="preserve">opmental influences (Pangallo et al., </w:t>
      </w:r>
      <w:r w:rsidR="00F82285" w:rsidRPr="0090305A">
        <w:rPr>
          <w:color w:val="000000" w:themeColor="text1"/>
        </w:rPr>
        <w:t xml:space="preserve">2015).   </w:t>
      </w:r>
    </w:p>
    <w:p w14:paraId="70DAEDE7" w14:textId="0086DE6F" w:rsidR="009228D1" w:rsidRPr="0090305A" w:rsidRDefault="0081020B">
      <w:pPr>
        <w:pStyle w:val="TextoAPA"/>
        <w:rPr>
          <w:color w:val="000000" w:themeColor="text1"/>
        </w:rPr>
      </w:pPr>
      <w:r w:rsidRPr="0090305A">
        <w:rPr>
          <w:color w:val="000000" w:themeColor="text1"/>
        </w:rPr>
        <w:t xml:space="preserve">Researchers </w:t>
      </w:r>
      <w:r w:rsidR="00717886" w:rsidRPr="0090305A">
        <w:rPr>
          <w:color w:val="000000" w:themeColor="text1"/>
        </w:rPr>
        <w:t>emphasize that resilience contains</w:t>
      </w:r>
      <w:r w:rsidRPr="0090305A">
        <w:rPr>
          <w:color w:val="000000" w:themeColor="text1"/>
        </w:rPr>
        <w:t xml:space="preserve"> </w:t>
      </w:r>
      <w:r w:rsidR="00717886" w:rsidRPr="0090305A">
        <w:rPr>
          <w:color w:val="000000" w:themeColor="text1"/>
        </w:rPr>
        <w:t>self-regulatory functions that serve to buffer the negative effects of</w:t>
      </w:r>
      <w:r w:rsidRPr="0090305A">
        <w:rPr>
          <w:color w:val="000000" w:themeColor="text1"/>
        </w:rPr>
        <w:t xml:space="preserve"> </w:t>
      </w:r>
      <w:r w:rsidR="00717886" w:rsidRPr="0090305A">
        <w:rPr>
          <w:color w:val="000000" w:themeColor="text1"/>
        </w:rPr>
        <w:t xml:space="preserve">an undesirable </w:t>
      </w:r>
      <w:r w:rsidR="00C831CA" w:rsidRPr="0090305A">
        <w:rPr>
          <w:color w:val="000000" w:themeColor="text1"/>
        </w:rPr>
        <w:t>environment, allowing</w:t>
      </w:r>
      <w:r w:rsidR="009C22FF" w:rsidRPr="0090305A">
        <w:rPr>
          <w:color w:val="000000" w:themeColor="text1"/>
        </w:rPr>
        <w:t xml:space="preserve"> the affected individual the time, energy, and resource investment to recover, rebound, and return to an equilibrium point </w:t>
      </w:r>
      <w:r w:rsidR="00717886" w:rsidRPr="0090305A">
        <w:rPr>
          <w:color w:val="000000" w:themeColor="text1"/>
        </w:rPr>
        <w:lastRenderedPageBreak/>
        <w:t>(Buckner, Mezzacappa, &amp; Beardslee, 2003;</w:t>
      </w:r>
      <w:r w:rsidRPr="0090305A">
        <w:rPr>
          <w:color w:val="000000" w:themeColor="text1"/>
        </w:rPr>
        <w:t xml:space="preserve"> </w:t>
      </w:r>
      <w:r w:rsidR="00717886" w:rsidRPr="0090305A">
        <w:rPr>
          <w:color w:val="000000" w:themeColor="text1"/>
        </w:rPr>
        <w:t>Gardner, Dishion, &amp; Connell, 2008).</w:t>
      </w:r>
      <w:r w:rsidR="008058D0" w:rsidRPr="0090305A">
        <w:rPr>
          <w:color w:val="000000" w:themeColor="text1"/>
        </w:rPr>
        <w:t xml:space="preserve"> </w:t>
      </w:r>
      <w:r w:rsidR="009228D1" w:rsidRPr="0090305A">
        <w:rPr>
          <w:color w:val="000000" w:themeColor="text1"/>
        </w:rPr>
        <w:t>Thus, a challenge for resilience research is to develop a theoretical model which could differentiate factors and mechanisms promoting resilience (Davydov, Stewart, Ritchie, &amp; Chaudieu, 2010).</w:t>
      </w:r>
    </w:p>
    <w:p w14:paraId="091C5799" w14:textId="08B38E59" w:rsidR="00005527" w:rsidRPr="0090305A" w:rsidRDefault="00982A6B">
      <w:pPr>
        <w:pStyle w:val="TextoAPA"/>
        <w:rPr>
          <w:color w:val="000000" w:themeColor="text1"/>
        </w:rPr>
      </w:pPr>
      <w:r w:rsidRPr="0090305A">
        <w:rPr>
          <w:color w:val="000000" w:themeColor="text1"/>
        </w:rPr>
        <w:t>N</w:t>
      </w:r>
      <w:r w:rsidR="00457BB8" w:rsidRPr="0090305A">
        <w:rPr>
          <w:color w:val="000000" w:themeColor="text1"/>
        </w:rPr>
        <w:t>umerous studies have</w:t>
      </w:r>
      <w:r w:rsidR="00892609" w:rsidRPr="0090305A">
        <w:rPr>
          <w:color w:val="000000" w:themeColor="text1"/>
        </w:rPr>
        <w:t xml:space="preserve"> </w:t>
      </w:r>
      <w:r w:rsidR="00375DEE" w:rsidRPr="0090305A">
        <w:rPr>
          <w:color w:val="000000" w:themeColor="text1"/>
        </w:rPr>
        <w:t>tested</w:t>
      </w:r>
      <w:r w:rsidR="00457BB8" w:rsidRPr="0090305A">
        <w:rPr>
          <w:color w:val="000000" w:themeColor="text1"/>
        </w:rPr>
        <w:t xml:space="preserve"> </w:t>
      </w:r>
      <w:r w:rsidR="00375DEE" w:rsidRPr="0090305A">
        <w:rPr>
          <w:color w:val="000000" w:themeColor="text1"/>
        </w:rPr>
        <w:t xml:space="preserve">the influence of </w:t>
      </w:r>
      <w:r w:rsidR="00457BB8" w:rsidRPr="0090305A">
        <w:rPr>
          <w:color w:val="000000" w:themeColor="text1"/>
        </w:rPr>
        <w:t xml:space="preserve">genetic, biological, psychological, family, community, social, and environmental </w:t>
      </w:r>
      <w:r w:rsidR="00375DEE" w:rsidRPr="0090305A">
        <w:rPr>
          <w:color w:val="000000" w:themeColor="text1"/>
        </w:rPr>
        <w:t>determinants</w:t>
      </w:r>
      <w:r w:rsidR="00892609" w:rsidRPr="0090305A">
        <w:rPr>
          <w:color w:val="000000" w:themeColor="text1"/>
        </w:rPr>
        <w:t xml:space="preserve"> (Cameron, Ungar, &amp; Liebenberg, 2007; Norris, Stevesn, Pfefferbaum, Wyche, &amp; Pfefferbaum, 2008)</w:t>
      </w:r>
      <w:r w:rsidR="00770DD0" w:rsidRPr="0090305A">
        <w:rPr>
          <w:color w:val="000000" w:themeColor="text1"/>
        </w:rPr>
        <w:t xml:space="preserve">. </w:t>
      </w:r>
      <w:r w:rsidR="00457BB8" w:rsidRPr="0090305A">
        <w:rPr>
          <w:color w:val="000000" w:themeColor="text1"/>
        </w:rPr>
        <w:t>For example,</w:t>
      </w:r>
      <w:r w:rsidR="009C22FF" w:rsidRPr="0090305A">
        <w:rPr>
          <w:color w:val="000000" w:themeColor="text1"/>
        </w:rPr>
        <w:t xml:space="preserve"> </w:t>
      </w:r>
      <w:r w:rsidR="00FE23D4" w:rsidRPr="0090305A">
        <w:rPr>
          <w:color w:val="000000" w:themeColor="text1"/>
        </w:rPr>
        <w:t>Dweck (200</w:t>
      </w:r>
      <w:r w:rsidR="005921F7" w:rsidRPr="0090305A">
        <w:rPr>
          <w:color w:val="000000" w:themeColor="text1"/>
        </w:rPr>
        <w:t>6</w:t>
      </w:r>
      <w:r w:rsidR="003F09F3" w:rsidRPr="0090305A">
        <w:rPr>
          <w:color w:val="000000" w:themeColor="text1"/>
        </w:rPr>
        <w:t xml:space="preserve">) discovered </w:t>
      </w:r>
      <w:r w:rsidR="000474A8" w:rsidRPr="0090305A">
        <w:rPr>
          <w:color w:val="000000" w:themeColor="text1"/>
        </w:rPr>
        <w:t>that people with growth mindsets are considered to be more resilient, more willing to try something new, a</w:t>
      </w:r>
      <w:r w:rsidR="009228D1" w:rsidRPr="0090305A">
        <w:rPr>
          <w:color w:val="000000" w:themeColor="text1"/>
        </w:rPr>
        <w:t>nd</w:t>
      </w:r>
      <w:r w:rsidR="000474A8" w:rsidRPr="0090305A">
        <w:rPr>
          <w:color w:val="000000" w:themeColor="text1"/>
        </w:rPr>
        <w:t xml:space="preserve"> more likely to grow their abilities.</w:t>
      </w:r>
      <w:r w:rsidR="007948EA" w:rsidRPr="0090305A">
        <w:rPr>
          <w:color w:val="000000" w:themeColor="text1"/>
        </w:rPr>
        <w:t xml:space="preserve"> In the same vein, </w:t>
      </w:r>
      <w:r w:rsidR="006A696C" w:rsidRPr="0090305A">
        <w:rPr>
          <w:color w:val="000000" w:themeColor="text1"/>
        </w:rPr>
        <w:t xml:space="preserve">empirical studies have shown that perceived resilience has a negative association with stress-related anxiety (Krush &amp; Agnihotri, 2013) and emotional exhaustion (Bande, Fernandez-Ferrín, Varela, &amp; Jaramillo, 2015). </w:t>
      </w:r>
    </w:p>
    <w:p w14:paraId="74262127" w14:textId="52915065" w:rsidR="006E608C" w:rsidRPr="0090305A" w:rsidRDefault="00C341E7">
      <w:pPr>
        <w:spacing w:line="480" w:lineRule="auto"/>
        <w:ind w:firstLine="708"/>
        <w:rPr>
          <w:color w:val="000000" w:themeColor="text1"/>
          <w:lang w:val="en-US"/>
        </w:rPr>
      </w:pPr>
      <w:r w:rsidRPr="0090305A">
        <w:rPr>
          <w:color w:val="000000" w:themeColor="text1"/>
          <w:lang w:val="en-US"/>
        </w:rPr>
        <w:t xml:space="preserve">Even </w:t>
      </w:r>
      <w:r w:rsidR="00AB7BE3" w:rsidRPr="0090305A">
        <w:rPr>
          <w:color w:val="000000" w:themeColor="text1"/>
          <w:lang w:val="en-US"/>
        </w:rPr>
        <w:t>if</w:t>
      </w:r>
      <w:r w:rsidRPr="0090305A">
        <w:rPr>
          <w:color w:val="000000" w:themeColor="text1"/>
          <w:lang w:val="en-US"/>
        </w:rPr>
        <w:t xml:space="preserve"> previous research presents a notable absence of sociocontextual and demographic predictors of resilience, it is well known that </w:t>
      </w:r>
      <w:r w:rsidR="00AB7BE3" w:rsidRPr="0090305A">
        <w:rPr>
          <w:color w:val="000000" w:themeColor="text1"/>
          <w:lang w:val="en-US"/>
        </w:rPr>
        <w:t xml:space="preserve">these variables </w:t>
      </w:r>
      <w:r w:rsidR="006D2AA7" w:rsidRPr="0090305A">
        <w:rPr>
          <w:color w:val="000000" w:themeColor="text1"/>
          <w:lang w:val="en-US"/>
        </w:rPr>
        <w:t xml:space="preserve">may exert a cumulative influence (Pangallo et al., 2015). </w:t>
      </w:r>
      <w:r w:rsidR="00876BED" w:rsidRPr="0090305A">
        <w:rPr>
          <w:color w:val="000000" w:themeColor="text1"/>
          <w:lang w:val="en-US"/>
        </w:rPr>
        <w:t>More specifically, age,</w:t>
      </w:r>
      <w:r w:rsidR="0072218D" w:rsidRPr="0090305A">
        <w:rPr>
          <w:color w:val="000000" w:themeColor="text1"/>
          <w:lang w:val="en-US"/>
        </w:rPr>
        <w:t xml:space="preserve"> gender,</w:t>
      </w:r>
      <w:r w:rsidR="00876BED" w:rsidRPr="0090305A">
        <w:rPr>
          <w:color w:val="000000" w:themeColor="text1"/>
          <w:lang w:val="en-US"/>
        </w:rPr>
        <w:t xml:space="preserve"> years of experience and education have been identified as influencing coping and stress management in </w:t>
      </w:r>
      <w:r w:rsidR="008A4520" w:rsidRPr="0090305A">
        <w:rPr>
          <w:color w:val="000000" w:themeColor="text1"/>
          <w:lang w:val="en-US"/>
        </w:rPr>
        <w:t xml:space="preserve">various </w:t>
      </w:r>
      <w:r w:rsidR="00876BED" w:rsidRPr="0090305A">
        <w:rPr>
          <w:color w:val="000000" w:themeColor="text1"/>
          <w:lang w:val="en-US"/>
        </w:rPr>
        <w:t>contexts (Adali &amp;</w:t>
      </w:r>
      <w:r w:rsidR="00AA2EB1" w:rsidRPr="0090305A">
        <w:rPr>
          <w:color w:val="000000" w:themeColor="text1"/>
          <w:lang w:val="en-US"/>
        </w:rPr>
        <w:t xml:space="preserve"> Priami, 2002;</w:t>
      </w:r>
      <w:r w:rsidR="00BC5B22">
        <w:rPr>
          <w:color w:val="000000" w:themeColor="text1"/>
          <w:lang w:val="en-US"/>
        </w:rPr>
        <w:t xml:space="preserve"> </w:t>
      </w:r>
      <w:r w:rsidR="00BC5B22" w:rsidRPr="000118E9">
        <w:rPr>
          <w:color w:val="000000" w:themeColor="text1"/>
          <w:lang w:val="en-US"/>
        </w:rPr>
        <w:t>Bonanno, Galea, Bucciarelli, &amp; Vlahov, 2007</w:t>
      </w:r>
      <w:r w:rsidR="00BC5B22">
        <w:rPr>
          <w:color w:val="000000" w:themeColor="text1"/>
          <w:lang w:val="en-US"/>
        </w:rPr>
        <w:t>;</w:t>
      </w:r>
      <w:r w:rsidR="00AA2EB1" w:rsidRPr="0090305A">
        <w:rPr>
          <w:color w:val="000000" w:themeColor="text1"/>
          <w:lang w:val="en-US"/>
        </w:rPr>
        <w:t xml:space="preserve"> Moore, Kuhik</w:t>
      </w:r>
      <w:r w:rsidR="00876BED" w:rsidRPr="0090305A">
        <w:rPr>
          <w:color w:val="000000" w:themeColor="text1"/>
          <w:lang w:val="en-US"/>
        </w:rPr>
        <w:t>,</w:t>
      </w:r>
      <w:r w:rsidR="00AA2EB1" w:rsidRPr="0090305A">
        <w:rPr>
          <w:color w:val="000000" w:themeColor="text1"/>
          <w:lang w:val="en-US"/>
        </w:rPr>
        <w:t xml:space="preserve"> and Katz,</w:t>
      </w:r>
      <w:r w:rsidR="00876BED" w:rsidRPr="0090305A">
        <w:rPr>
          <w:color w:val="000000" w:themeColor="text1"/>
          <w:lang w:val="en-US"/>
        </w:rPr>
        <w:t xml:space="preserve"> 1996; Shields &amp; Ward, 2001</w:t>
      </w:r>
      <w:r w:rsidR="00BA17D0" w:rsidRPr="0090305A">
        <w:rPr>
          <w:color w:val="000000" w:themeColor="text1"/>
          <w:lang w:val="en-US"/>
        </w:rPr>
        <w:t>)</w:t>
      </w:r>
      <w:r w:rsidR="00056FC6" w:rsidRPr="0090305A">
        <w:rPr>
          <w:color w:val="000000" w:themeColor="text1"/>
          <w:lang w:val="en-US"/>
        </w:rPr>
        <w:t xml:space="preserve">. </w:t>
      </w:r>
      <w:r w:rsidR="00A677AB" w:rsidRPr="0090305A">
        <w:rPr>
          <w:color w:val="000000" w:themeColor="text1"/>
          <w:lang w:val="en-US"/>
        </w:rPr>
        <w:t xml:space="preserve">Additionally, </w:t>
      </w:r>
      <w:r w:rsidR="003A4004" w:rsidRPr="0090305A">
        <w:rPr>
          <w:color w:val="000000" w:themeColor="text1"/>
          <w:lang w:val="en-US"/>
        </w:rPr>
        <w:t>studies</w:t>
      </w:r>
      <w:r w:rsidR="000E0D53" w:rsidRPr="0090305A">
        <w:rPr>
          <w:color w:val="000000" w:themeColor="text1"/>
          <w:lang w:val="en-US"/>
        </w:rPr>
        <w:t xml:space="preserve"> conducted in a workplace setting suggest that executives and professionals with more years of experience have significantly higher resilience scores (Mallak &amp; Yildiz, 2016).</w:t>
      </w:r>
      <w:r w:rsidR="006E608C" w:rsidRPr="0090305A">
        <w:rPr>
          <w:color w:val="000000" w:themeColor="text1"/>
          <w:lang w:val="en-US"/>
        </w:rPr>
        <w:t xml:space="preserve"> On the other hand, the latest edition of the European Communication Monitor</w:t>
      </w:r>
      <w:r w:rsidR="00CF2D48" w:rsidRPr="0090305A">
        <w:rPr>
          <w:color w:val="000000" w:themeColor="text1"/>
          <w:lang w:val="en-US"/>
        </w:rPr>
        <w:t xml:space="preserve"> (ECM)</w:t>
      </w:r>
      <w:r w:rsidR="006E608C" w:rsidRPr="0090305A">
        <w:rPr>
          <w:color w:val="000000" w:themeColor="text1"/>
          <w:lang w:val="en-US"/>
        </w:rPr>
        <w:t xml:space="preserve"> (</w:t>
      </w:r>
      <w:r w:rsidR="008A244E" w:rsidRPr="0090305A">
        <w:rPr>
          <w:color w:val="000000" w:themeColor="text1"/>
          <w:lang w:val="en-US"/>
        </w:rPr>
        <w:t xml:space="preserve">Zerfass, Tench, Verhoeven, Verčič, &amp; Moreno, </w:t>
      </w:r>
      <w:r w:rsidR="006E608C" w:rsidRPr="0090305A">
        <w:rPr>
          <w:color w:val="000000" w:themeColor="text1"/>
          <w:lang w:val="en-US"/>
        </w:rPr>
        <w:t xml:space="preserve">2018) shows that </w:t>
      </w:r>
      <w:r w:rsidR="00285ED4" w:rsidRPr="0090305A">
        <w:rPr>
          <w:color w:val="000000" w:themeColor="text1"/>
          <w:lang w:val="en-US"/>
        </w:rPr>
        <w:t>h</w:t>
      </w:r>
      <w:r w:rsidR="006E608C" w:rsidRPr="0090305A">
        <w:rPr>
          <w:color w:val="000000" w:themeColor="text1"/>
          <w:lang w:val="en-US"/>
        </w:rPr>
        <w:t>eads of communication departments and consultancies feel more engaged and better equipped to handle stress than team members, and so do team leaders.</w:t>
      </w:r>
      <w:r w:rsidR="00171967">
        <w:rPr>
          <w:color w:val="000000" w:themeColor="text1"/>
          <w:lang w:val="en-US"/>
        </w:rPr>
        <w:t xml:space="preserve"> Moreover, practitioners </w:t>
      </w:r>
      <w:r w:rsidR="00171967">
        <w:rPr>
          <w:color w:val="000000" w:themeColor="text1"/>
          <w:lang w:val="en-US"/>
        </w:rPr>
        <w:lastRenderedPageBreak/>
        <w:t>working on governmental organizations are less satisfied with their job than those of the private sector.</w:t>
      </w:r>
    </w:p>
    <w:p w14:paraId="3FD2C01F" w14:textId="6607911A" w:rsidR="00FE681E" w:rsidRPr="0090305A" w:rsidRDefault="00D448ED">
      <w:pPr>
        <w:spacing w:line="480" w:lineRule="auto"/>
        <w:ind w:firstLine="708"/>
        <w:rPr>
          <w:color w:val="000000" w:themeColor="text1"/>
          <w:lang w:val="en-US"/>
        </w:rPr>
      </w:pPr>
      <w:r w:rsidRPr="0090305A">
        <w:rPr>
          <w:color w:val="000000" w:themeColor="text1"/>
          <w:lang w:val="en-US"/>
        </w:rPr>
        <w:t>On the other hand,</w:t>
      </w:r>
      <w:r w:rsidR="00EE01DB" w:rsidRPr="0090305A">
        <w:rPr>
          <w:color w:val="000000" w:themeColor="text1"/>
          <w:lang w:val="en-US"/>
        </w:rPr>
        <w:t xml:space="preserve"> work engagement and resilience have been</w:t>
      </w:r>
      <w:r w:rsidR="003212D1" w:rsidRPr="0090305A">
        <w:rPr>
          <w:color w:val="000000" w:themeColor="text1"/>
          <w:lang w:val="en-US"/>
        </w:rPr>
        <w:t xml:space="preserve"> linked to job resources and professional skills</w:t>
      </w:r>
      <w:r w:rsidR="00EE01DB" w:rsidRPr="0090305A">
        <w:rPr>
          <w:color w:val="000000" w:themeColor="text1"/>
          <w:lang w:val="en-US"/>
        </w:rPr>
        <w:t xml:space="preserve"> (Skovholt, Grier, &amp; Hanson, 2001)</w:t>
      </w:r>
      <w:r w:rsidR="003212D1" w:rsidRPr="0090305A">
        <w:rPr>
          <w:color w:val="000000" w:themeColor="text1"/>
          <w:lang w:val="en-US"/>
        </w:rPr>
        <w:t>.</w:t>
      </w:r>
      <w:r w:rsidRPr="0090305A">
        <w:rPr>
          <w:color w:val="000000" w:themeColor="text1"/>
          <w:lang w:val="en-US"/>
        </w:rPr>
        <w:t xml:space="preserve"> </w:t>
      </w:r>
      <w:r w:rsidR="00800E88" w:rsidRPr="0090305A">
        <w:rPr>
          <w:color w:val="000000" w:themeColor="text1"/>
          <w:lang w:val="en-US"/>
        </w:rPr>
        <w:t>Nowadays, excellent</w:t>
      </w:r>
      <w:r w:rsidR="00A42D26" w:rsidRPr="0090305A">
        <w:rPr>
          <w:color w:val="000000" w:themeColor="text1"/>
          <w:lang w:val="en-US"/>
        </w:rPr>
        <w:t xml:space="preserve"> </w:t>
      </w:r>
      <w:r w:rsidR="00800E88" w:rsidRPr="0090305A">
        <w:rPr>
          <w:color w:val="000000" w:themeColor="text1"/>
          <w:lang w:val="en-US"/>
        </w:rPr>
        <w:t>practitio</w:t>
      </w:r>
      <w:r w:rsidR="00A42D26" w:rsidRPr="0090305A">
        <w:rPr>
          <w:color w:val="000000" w:themeColor="text1"/>
          <w:lang w:val="en-US"/>
        </w:rPr>
        <w:t>ners are expected to possess the technical skills to manage the complex and dynamic context and functions of their organizations.</w:t>
      </w:r>
      <w:r w:rsidR="0024339B" w:rsidRPr="0090305A">
        <w:rPr>
          <w:color w:val="000000" w:themeColor="text1"/>
          <w:lang w:val="en-US"/>
        </w:rPr>
        <w:t xml:space="preserve"> </w:t>
      </w:r>
      <w:r w:rsidR="003212D1" w:rsidRPr="0090305A">
        <w:rPr>
          <w:color w:val="000000" w:themeColor="text1"/>
          <w:lang w:val="en-US"/>
        </w:rPr>
        <w:t>However, t</w:t>
      </w:r>
      <w:r w:rsidR="0024339B" w:rsidRPr="0090305A">
        <w:rPr>
          <w:color w:val="000000" w:themeColor="text1"/>
          <w:lang w:val="en-US"/>
        </w:rPr>
        <w:t>echnology and digital communication platforms has blurred the boundaries between work and life, negatively affecting the job satisfaction level over the last years</w:t>
      </w:r>
      <w:r w:rsidR="000E1428" w:rsidRPr="0090305A">
        <w:rPr>
          <w:color w:val="000000" w:themeColor="text1"/>
          <w:lang w:val="en-US"/>
        </w:rPr>
        <w:t xml:space="preserve">. </w:t>
      </w:r>
      <w:r w:rsidR="00AF7EAD" w:rsidRPr="0090305A">
        <w:rPr>
          <w:color w:val="000000" w:themeColor="text1"/>
          <w:lang w:val="en-US"/>
        </w:rPr>
        <w:t>As the new media continues to evolve and spread throughout society, practitioners that are unprepared for social media challenges are likely to face a number of professional barriers</w:t>
      </w:r>
      <w:r w:rsidR="00FB7397" w:rsidRPr="0090305A">
        <w:rPr>
          <w:color w:val="000000" w:themeColor="text1"/>
          <w:lang w:val="en-US"/>
        </w:rPr>
        <w:t xml:space="preserve"> and higher levels of stress at work</w:t>
      </w:r>
      <w:r w:rsidR="00AF7EAD" w:rsidRPr="0090305A">
        <w:rPr>
          <w:color w:val="000000" w:themeColor="text1"/>
          <w:lang w:val="en-US"/>
        </w:rPr>
        <w:t xml:space="preserve"> (Moreno, Navarro, Tench</w:t>
      </w:r>
      <w:r w:rsidR="006F02AF">
        <w:rPr>
          <w:color w:val="000000" w:themeColor="text1"/>
          <w:lang w:val="en-US"/>
        </w:rPr>
        <w:t>,</w:t>
      </w:r>
      <w:r w:rsidR="00AF7EAD" w:rsidRPr="0090305A">
        <w:rPr>
          <w:color w:val="000000" w:themeColor="text1"/>
          <w:lang w:val="en-US"/>
        </w:rPr>
        <w:t xml:space="preserve"> &amp; Zerfass, 2015</w:t>
      </w:r>
      <w:r w:rsidR="003212D1" w:rsidRPr="0090305A">
        <w:rPr>
          <w:color w:val="000000" w:themeColor="text1"/>
          <w:lang w:val="en-US"/>
        </w:rPr>
        <w:t>; Zerfass, Sandhu, &amp; Young, 2007</w:t>
      </w:r>
      <w:r w:rsidR="00AF7EAD" w:rsidRPr="0090305A">
        <w:rPr>
          <w:color w:val="000000" w:themeColor="text1"/>
          <w:lang w:val="en-US"/>
        </w:rPr>
        <w:t>)</w:t>
      </w:r>
      <w:r w:rsidR="0072218D" w:rsidRPr="0090305A">
        <w:rPr>
          <w:color w:val="000000" w:themeColor="text1"/>
          <w:lang w:val="en-US"/>
        </w:rPr>
        <w:t>.</w:t>
      </w:r>
      <w:r w:rsidR="00D5058E" w:rsidRPr="0090305A">
        <w:rPr>
          <w:color w:val="000000" w:themeColor="text1"/>
          <w:lang w:val="en-US"/>
        </w:rPr>
        <w:t xml:space="preserve"> </w:t>
      </w:r>
      <w:r w:rsidR="00A25913" w:rsidRPr="0090305A">
        <w:rPr>
          <w:color w:val="000000" w:themeColor="text1"/>
          <w:lang w:val="en-US"/>
        </w:rPr>
        <w:t>Consequently,</w:t>
      </w:r>
      <w:r w:rsidR="00D5058E" w:rsidRPr="0090305A">
        <w:rPr>
          <w:color w:val="000000" w:themeColor="text1"/>
          <w:lang w:val="en-US"/>
        </w:rPr>
        <w:t xml:space="preserve"> professionals managing the online channels are less satisfied at work (Zerfass et al., 2018).</w:t>
      </w:r>
    </w:p>
    <w:p w14:paraId="5287E278" w14:textId="3A77701D" w:rsidR="006A75F7" w:rsidRPr="0090305A" w:rsidRDefault="00273870" w:rsidP="00FE681E">
      <w:pPr>
        <w:spacing w:line="480" w:lineRule="auto"/>
        <w:ind w:firstLine="708"/>
        <w:rPr>
          <w:color w:val="000000" w:themeColor="text1"/>
          <w:lang w:val="en-US"/>
        </w:rPr>
      </w:pPr>
      <w:r w:rsidRPr="0090305A">
        <w:rPr>
          <w:color w:val="000000" w:themeColor="text1"/>
          <w:lang w:val="en-US"/>
        </w:rPr>
        <w:t>Evidence suggests that supportive environments are strongly associated with physical and mental health and improved productivity.</w:t>
      </w:r>
      <w:r w:rsidR="0058060C" w:rsidRPr="0090305A">
        <w:rPr>
          <w:color w:val="000000" w:themeColor="text1"/>
          <w:lang w:val="en-US"/>
        </w:rPr>
        <w:t xml:space="preserve"> </w:t>
      </w:r>
      <w:r w:rsidR="008042CB" w:rsidRPr="008042CB">
        <w:rPr>
          <w:color w:val="000000" w:themeColor="text1"/>
          <w:lang w:val="en-US"/>
        </w:rPr>
        <w:t xml:space="preserve">Existing literature highlights the role of </w:t>
      </w:r>
      <w:r w:rsidR="008042CB">
        <w:rPr>
          <w:color w:val="000000" w:themeColor="text1"/>
          <w:lang w:val="en-US"/>
        </w:rPr>
        <w:t xml:space="preserve">organizational </w:t>
      </w:r>
      <w:r w:rsidR="008042CB" w:rsidRPr="008042CB">
        <w:rPr>
          <w:color w:val="000000" w:themeColor="text1"/>
          <w:lang w:val="en-US"/>
        </w:rPr>
        <w:t xml:space="preserve">context </w:t>
      </w:r>
      <w:r w:rsidR="008042CB">
        <w:rPr>
          <w:color w:val="000000" w:themeColor="text1"/>
          <w:lang w:val="en-US"/>
        </w:rPr>
        <w:t>for the evolution of</w:t>
      </w:r>
      <w:r w:rsidR="008042CB" w:rsidRPr="008042CB">
        <w:rPr>
          <w:color w:val="000000" w:themeColor="text1"/>
          <w:lang w:val="en-US"/>
        </w:rPr>
        <w:t xml:space="preserve"> employee resilience (Cooper, Liu, &amp; Tarba, 2014).</w:t>
      </w:r>
      <w:r w:rsidR="008042CB">
        <w:rPr>
          <w:color w:val="000000" w:themeColor="text1"/>
          <w:lang w:val="en-US"/>
        </w:rPr>
        <w:t xml:space="preserve"> </w:t>
      </w:r>
      <w:r w:rsidR="007D5CA7" w:rsidRPr="0090305A">
        <w:rPr>
          <w:color w:val="000000" w:themeColor="text1"/>
          <w:lang w:val="en-US"/>
        </w:rPr>
        <w:t>Importantly</w:t>
      </w:r>
      <w:r w:rsidR="000A3159" w:rsidRPr="0090305A">
        <w:rPr>
          <w:color w:val="000000" w:themeColor="text1"/>
          <w:lang w:val="en-US"/>
        </w:rPr>
        <w:t>,</w:t>
      </w:r>
      <w:r w:rsidR="007D5CA7" w:rsidRPr="0090305A">
        <w:rPr>
          <w:color w:val="000000" w:themeColor="text1"/>
          <w:lang w:val="en-US"/>
        </w:rPr>
        <w:t xml:space="preserve"> professionals working in excellent departments (20.2 per cent) have</w:t>
      </w:r>
      <w:r w:rsidR="000A3159" w:rsidRPr="0090305A">
        <w:rPr>
          <w:color w:val="000000" w:themeColor="text1"/>
          <w:lang w:val="en-US"/>
        </w:rPr>
        <w:t xml:space="preserve"> less</w:t>
      </w:r>
      <w:r w:rsidR="007D5CA7" w:rsidRPr="0090305A">
        <w:rPr>
          <w:color w:val="000000" w:themeColor="text1"/>
          <w:lang w:val="en-US"/>
        </w:rPr>
        <w:t xml:space="preserve"> serious stress problems </w:t>
      </w:r>
      <w:r w:rsidR="003D69CD" w:rsidRPr="0090305A">
        <w:rPr>
          <w:color w:val="000000" w:themeColor="text1"/>
          <w:lang w:val="en-US"/>
        </w:rPr>
        <w:t xml:space="preserve">and are more satisfied with </w:t>
      </w:r>
      <w:r w:rsidR="006A75F7" w:rsidRPr="0090305A">
        <w:rPr>
          <w:color w:val="000000" w:themeColor="text1"/>
          <w:lang w:val="en-US"/>
        </w:rPr>
        <w:t>their jobs (93.5 per cent), in contrast to their peers in other departments (30.5 and 66.8 per cent) (Zerfass et al., 2018).</w:t>
      </w:r>
    </w:p>
    <w:p w14:paraId="6C556AEA" w14:textId="7CF82782" w:rsidR="008F2F08" w:rsidRPr="0090305A" w:rsidRDefault="00867248">
      <w:pPr>
        <w:pStyle w:val="Normal11"/>
        <w:spacing w:after="0" w:line="480" w:lineRule="auto"/>
        <w:ind w:firstLine="720"/>
        <w:contextualSpacing/>
        <w:outlineLvl w:val="0"/>
        <w:rPr>
          <w:rFonts w:ascii="Times New Roman" w:hAnsi="Times New Roman" w:cs="Times New Roman"/>
          <w:b/>
          <w:color w:val="000000" w:themeColor="text1"/>
          <w:sz w:val="24"/>
          <w:szCs w:val="24"/>
        </w:rPr>
      </w:pPr>
      <w:r w:rsidRPr="0090305A">
        <w:rPr>
          <w:rFonts w:ascii="Times New Roman" w:eastAsia="Times New Roman" w:hAnsi="Times New Roman" w:cs="Times New Roman"/>
          <w:b/>
          <w:color w:val="000000" w:themeColor="text1"/>
          <w:sz w:val="24"/>
          <w:szCs w:val="24"/>
        </w:rPr>
        <w:t>Research on r</w:t>
      </w:r>
      <w:r w:rsidR="008F2F08" w:rsidRPr="0090305A">
        <w:rPr>
          <w:rFonts w:ascii="Times New Roman" w:eastAsia="Times New Roman" w:hAnsi="Times New Roman" w:cs="Times New Roman"/>
          <w:b/>
          <w:color w:val="000000" w:themeColor="text1"/>
          <w:sz w:val="24"/>
          <w:szCs w:val="24"/>
        </w:rPr>
        <w:t xml:space="preserve">esilience in Public Relations </w:t>
      </w:r>
    </w:p>
    <w:p w14:paraId="7043A290" w14:textId="1314D0EB" w:rsidR="008373CE" w:rsidRPr="0090305A" w:rsidRDefault="00946469">
      <w:pPr>
        <w:pStyle w:val="TextoAPA"/>
        <w:rPr>
          <w:color w:val="000000" w:themeColor="text1"/>
        </w:rPr>
      </w:pPr>
      <w:r w:rsidRPr="0090305A">
        <w:rPr>
          <w:color w:val="000000" w:themeColor="text1"/>
        </w:rPr>
        <w:t>Public relations professionals</w:t>
      </w:r>
      <w:r w:rsidR="00665D05" w:rsidRPr="0090305A">
        <w:rPr>
          <w:color w:val="000000" w:themeColor="text1"/>
        </w:rPr>
        <w:t xml:space="preserve"> </w:t>
      </w:r>
      <w:r w:rsidR="00576185" w:rsidRPr="0090305A">
        <w:rPr>
          <w:color w:val="000000" w:themeColor="text1"/>
        </w:rPr>
        <w:t>play a central role as boundary spanners, community facilitators, sense givers, and change-management agents, helping organizations to embrace uncertainty and create new opportunities (Tench, Verčič, Zerfass, Moreno</w:t>
      </w:r>
      <w:r w:rsidR="00D52206" w:rsidRPr="0090305A">
        <w:rPr>
          <w:color w:val="000000" w:themeColor="text1"/>
        </w:rPr>
        <w:t>,</w:t>
      </w:r>
      <w:r w:rsidR="00576185" w:rsidRPr="0090305A">
        <w:rPr>
          <w:color w:val="000000" w:themeColor="text1"/>
        </w:rPr>
        <w:t xml:space="preserve"> &amp; Verhoeven, 2017). </w:t>
      </w:r>
      <w:r w:rsidR="00576185" w:rsidRPr="0090305A">
        <w:rPr>
          <w:color w:val="000000" w:themeColor="text1"/>
        </w:rPr>
        <w:lastRenderedPageBreak/>
        <w:t xml:space="preserve">Practitioners </w:t>
      </w:r>
      <w:r w:rsidR="007200F0" w:rsidRPr="0090305A">
        <w:rPr>
          <w:color w:val="000000" w:themeColor="text1"/>
        </w:rPr>
        <w:t>work across organizations and communities, scanning the environment, dealing with stakeholders</w:t>
      </w:r>
      <w:r w:rsidR="0025383E" w:rsidRPr="0090305A">
        <w:rPr>
          <w:color w:val="000000" w:themeColor="text1"/>
        </w:rPr>
        <w:t>’</w:t>
      </w:r>
      <w:r w:rsidR="007200F0" w:rsidRPr="0090305A">
        <w:rPr>
          <w:color w:val="000000" w:themeColor="text1"/>
        </w:rPr>
        <w:t xml:space="preserve"> needs and expectations, facing ethical dilemmas, </w:t>
      </w:r>
      <w:r w:rsidR="00223B44" w:rsidRPr="0090305A">
        <w:rPr>
          <w:color w:val="000000" w:themeColor="text1"/>
        </w:rPr>
        <w:t xml:space="preserve">managing </w:t>
      </w:r>
      <w:r w:rsidR="007200F0" w:rsidRPr="0090305A">
        <w:rPr>
          <w:color w:val="000000" w:themeColor="text1"/>
        </w:rPr>
        <w:t>crisis,</w:t>
      </w:r>
      <w:r w:rsidR="0025383E" w:rsidRPr="0090305A">
        <w:rPr>
          <w:color w:val="000000" w:themeColor="text1"/>
        </w:rPr>
        <w:t xml:space="preserve"> and</w:t>
      </w:r>
      <w:r w:rsidR="00AB4F01" w:rsidRPr="0090305A">
        <w:rPr>
          <w:color w:val="000000" w:themeColor="text1"/>
        </w:rPr>
        <w:t xml:space="preserve"> navigating conflicting interests </w:t>
      </w:r>
      <w:r w:rsidR="00223B44" w:rsidRPr="0090305A">
        <w:rPr>
          <w:color w:val="000000" w:themeColor="text1"/>
        </w:rPr>
        <w:t>that</w:t>
      </w:r>
      <w:r w:rsidR="007200F0" w:rsidRPr="0090305A">
        <w:rPr>
          <w:color w:val="000000" w:themeColor="text1"/>
        </w:rPr>
        <w:t xml:space="preserve"> trigger work-relate</w:t>
      </w:r>
      <w:r w:rsidR="00464D58" w:rsidRPr="0090305A">
        <w:rPr>
          <w:color w:val="000000" w:themeColor="text1"/>
        </w:rPr>
        <w:t>d</w:t>
      </w:r>
      <w:r w:rsidR="007200F0" w:rsidRPr="0090305A">
        <w:rPr>
          <w:color w:val="000000" w:themeColor="text1"/>
        </w:rPr>
        <w:t xml:space="preserve"> frustrations and dissatisfaction (Bowen, 2004; </w:t>
      </w:r>
      <w:r w:rsidR="00A950B3" w:rsidRPr="0090305A">
        <w:rPr>
          <w:color w:val="000000" w:themeColor="text1"/>
        </w:rPr>
        <w:t>Erzikova &amp; Berger, 2012</w:t>
      </w:r>
      <w:r w:rsidR="007200F0" w:rsidRPr="0090305A">
        <w:rPr>
          <w:color w:val="000000" w:themeColor="text1"/>
        </w:rPr>
        <w:t>;</w:t>
      </w:r>
      <w:r w:rsidR="00A43C25" w:rsidRPr="0090305A">
        <w:rPr>
          <w:color w:val="000000" w:themeColor="text1"/>
        </w:rPr>
        <w:t xml:space="preserve"> Guo &amp; Anderson, 2018</w:t>
      </w:r>
      <w:r w:rsidR="00AB4F01" w:rsidRPr="0090305A">
        <w:rPr>
          <w:color w:val="000000" w:themeColor="text1"/>
        </w:rPr>
        <w:t>; Parsons, 2016</w:t>
      </w:r>
      <w:r w:rsidR="00A950B3" w:rsidRPr="0090305A">
        <w:rPr>
          <w:color w:val="000000" w:themeColor="text1"/>
        </w:rPr>
        <w:t>).</w:t>
      </w:r>
      <w:r w:rsidR="0001310C">
        <w:rPr>
          <w:color w:val="000000" w:themeColor="text1"/>
        </w:rPr>
        <w:t xml:space="preserve"> B</w:t>
      </w:r>
      <w:r w:rsidR="0001310C" w:rsidRPr="0001310C">
        <w:rPr>
          <w:color w:val="000000" w:themeColor="text1"/>
        </w:rPr>
        <w:t xml:space="preserve">ased on data from the </w:t>
      </w:r>
      <w:r w:rsidR="007703EC">
        <w:rPr>
          <w:color w:val="000000" w:themeColor="text1"/>
        </w:rPr>
        <w:t>ECM</w:t>
      </w:r>
      <w:r w:rsidR="0001310C" w:rsidRPr="0001310C">
        <w:rPr>
          <w:color w:val="000000" w:themeColor="text1"/>
        </w:rPr>
        <w:t xml:space="preserve"> studies (Tench et</w:t>
      </w:r>
      <w:r w:rsidR="0001310C">
        <w:rPr>
          <w:color w:val="000000" w:themeColor="text1"/>
        </w:rPr>
        <w:t xml:space="preserve"> </w:t>
      </w:r>
      <w:r w:rsidR="0001310C" w:rsidRPr="0001310C">
        <w:rPr>
          <w:color w:val="000000" w:themeColor="text1"/>
        </w:rPr>
        <w:t>al., 2017</w:t>
      </w:r>
      <w:r w:rsidR="0001310C">
        <w:rPr>
          <w:color w:val="000000" w:themeColor="text1"/>
        </w:rPr>
        <w:t>)</w:t>
      </w:r>
      <w:r w:rsidR="007703EC">
        <w:rPr>
          <w:color w:val="000000" w:themeColor="text1"/>
        </w:rPr>
        <w:t>, a</w:t>
      </w:r>
      <w:r w:rsidR="007703EC" w:rsidRPr="007703EC">
        <w:rPr>
          <w:color w:val="000000" w:themeColor="text1"/>
        </w:rPr>
        <w:t>n ideal practitioner</w:t>
      </w:r>
      <w:r w:rsidR="007703EC">
        <w:rPr>
          <w:color w:val="000000" w:themeColor="text1"/>
        </w:rPr>
        <w:t xml:space="preserve"> should be able to </w:t>
      </w:r>
      <w:r w:rsidR="007703EC" w:rsidRPr="007703EC">
        <w:rPr>
          <w:color w:val="000000" w:themeColor="text1"/>
        </w:rPr>
        <w:t xml:space="preserve">manage the complex, dynamic context and functions of their </w:t>
      </w:r>
      <w:r w:rsidR="007703EC">
        <w:rPr>
          <w:color w:val="000000" w:themeColor="text1"/>
        </w:rPr>
        <w:t xml:space="preserve">organization </w:t>
      </w:r>
      <w:r w:rsidR="007703EC" w:rsidRPr="007703EC">
        <w:rPr>
          <w:color w:val="000000" w:themeColor="text1"/>
        </w:rPr>
        <w:t>as they will possess the cognitive, technical, social and communication</w:t>
      </w:r>
      <w:r w:rsidR="007703EC">
        <w:rPr>
          <w:color w:val="000000" w:themeColor="text1"/>
        </w:rPr>
        <w:t xml:space="preserve"> </w:t>
      </w:r>
      <w:r w:rsidR="007703EC" w:rsidRPr="007703EC">
        <w:rPr>
          <w:color w:val="000000" w:themeColor="text1"/>
        </w:rPr>
        <w:t>skills to gain the confidence of colleagues from other sectors and functions.</w:t>
      </w:r>
      <w:r w:rsidR="00597102">
        <w:rPr>
          <w:color w:val="000000" w:themeColor="text1"/>
        </w:rPr>
        <w:t xml:space="preserve"> However, </w:t>
      </w:r>
      <w:r w:rsidR="00BC564E" w:rsidRPr="0090305A">
        <w:rPr>
          <w:color w:val="000000" w:themeColor="text1"/>
        </w:rPr>
        <w:t>almost every third public relations practitioners</w:t>
      </w:r>
      <w:r w:rsidR="00597102">
        <w:rPr>
          <w:color w:val="000000" w:themeColor="text1"/>
        </w:rPr>
        <w:t xml:space="preserve"> in Europe</w:t>
      </w:r>
      <w:r w:rsidR="00BC564E" w:rsidRPr="0090305A">
        <w:rPr>
          <w:color w:val="000000" w:themeColor="text1"/>
        </w:rPr>
        <w:t xml:space="preserve"> </w:t>
      </w:r>
      <w:r w:rsidR="00965D33" w:rsidRPr="0090305A">
        <w:rPr>
          <w:color w:val="000000" w:themeColor="text1"/>
        </w:rPr>
        <w:t>want</w:t>
      </w:r>
      <w:r w:rsidR="00BC564E" w:rsidRPr="0090305A">
        <w:rPr>
          <w:color w:val="000000" w:themeColor="text1"/>
        </w:rPr>
        <w:t xml:space="preserve"> to leave his current employer, less than half think that they have a good work-life balance and just a 38.1 per cent are happy with their career opportunities (Zerfass et al., 2018).</w:t>
      </w:r>
      <w:r w:rsidR="00C277DE">
        <w:rPr>
          <w:color w:val="000000" w:themeColor="text1"/>
        </w:rPr>
        <w:t xml:space="preserve"> </w:t>
      </w:r>
      <w:r w:rsidR="00C277DE" w:rsidRPr="00C277DE">
        <w:rPr>
          <w:color w:val="000000" w:themeColor="text1"/>
        </w:rPr>
        <w:t>The most important driver</w:t>
      </w:r>
      <w:r w:rsidR="00292776">
        <w:rPr>
          <w:color w:val="000000" w:themeColor="text1"/>
        </w:rPr>
        <w:t>s</w:t>
      </w:r>
      <w:r w:rsidR="00C277DE" w:rsidRPr="00C277DE">
        <w:rPr>
          <w:color w:val="000000" w:themeColor="text1"/>
        </w:rPr>
        <w:t xml:space="preserve"> of work stress are the need to be constantly available outside working time to access emails and phone calls, too heavy a work load,</w:t>
      </w:r>
      <w:r w:rsidR="00D16C0D">
        <w:rPr>
          <w:color w:val="000000" w:themeColor="text1"/>
        </w:rPr>
        <w:t xml:space="preserve"> </w:t>
      </w:r>
      <w:r w:rsidR="00D16C0D" w:rsidRPr="00C277DE">
        <w:rPr>
          <w:color w:val="000000" w:themeColor="text1"/>
        </w:rPr>
        <w:t>as well as</w:t>
      </w:r>
      <w:r w:rsidR="00C277DE" w:rsidRPr="00C277DE">
        <w:rPr>
          <w:color w:val="000000" w:themeColor="text1"/>
        </w:rPr>
        <w:t xml:space="preserve"> information overload.</w:t>
      </w:r>
    </w:p>
    <w:p w14:paraId="304D3C94" w14:textId="209F8CAF" w:rsidR="00FF73C8" w:rsidRPr="00E5049C" w:rsidRDefault="00FF73C8">
      <w:pPr>
        <w:pStyle w:val="TextoAPA"/>
        <w:rPr>
          <w:color w:val="000000" w:themeColor="text1"/>
        </w:rPr>
      </w:pPr>
      <w:r w:rsidRPr="00E5049C">
        <w:rPr>
          <w:color w:val="000000" w:themeColor="text1"/>
        </w:rPr>
        <w:t xml:space="preserve">The </w:t>
      </w:r>
      <w:r w:rsidR="00C277DE">
        <w:rPr>
          <w:color w:val="000000" w:themeColor="text1"/>
        </w:rPr>
        <w:t xml:space="preserve">latest </w:t>
      </w:r>
      <w:r w:rsidRPr="00E5049C">
        <w:rPr>
          <w:color w:val="000000" w:themeColor="text1"/>
        </w:rPr>
        <w:t>report of the Commission on Public Relation Education underlines this changing fast-forward context of the profession and their implications for education. The results of a survey conducted among 105 public relations employers or hirers highlight resilience as one of the desired entry-level employees’ personal traits. Other related characteristics mentioned were nimbleness, adaptability, flexibility, agility, and being able to juggle multiple projects without getting overwhelmed or frustrated (CPRE, 2018).</w:t>
      </w:r>
    </w:p>
    <w:p w14:paraId="62263330" w14:textId="65D04EA5" w:rsidR="00B65332" w:rsidRPr="0090305A" w:rsidRDefault="0028271B">
      <w:pPr>
        <w:pStyle w:val="TextoAPA"/>
        <w:rPr>
          <w:color w:val="000000" w:themeColor="text1"/>
        </w:rPr>
      </w:pPr>
      <w:r w:rsidRPr="0090305A">
        <w:rPr>
          <w:color w:val="000000" w:themeColor="text1"/>
        </w:rPr>
        <w:t>Communication scholars</w:t>
      </w:r>
      <w:r w:rsidR="00990BCE" w:rsidRPr="0090305A">
        <w:rPr>
          <w:color w:val="000000" w:themeColor="text1"/>
        </w:rPr>
        <w:t xml:space="preserve"> and practitioners</w:t>
      </w:r>
      <w:r w:rsidRPr="0090305A">
        <w:rPr>
          <w:color w:val="000000" w:themeColor="text1"/>
        </w:rPr>
        <w:t xml:space="preserve"> have recently shown</w:t>
      </w:r>
      <w:r w:rsidR="00990BCE" w:rsidRPr="0090305A">
        <w:rPr>
          <w:color w:val="000000" w:themeColor="text1"/>
        </w:rPr>
        <w:t xml:space="preserve"> a growing</w:t>
      </w:r>
      <w:r w:rsidRPr="0090305A">
        <w:rPr>
          <w:color w:val="000000" w:themeColor="text1"/>
        </w:rPr>
        <w:t xml:space="preserve"> interest in</w:t>
      </w:r>
      <w:r w:rsidR="00990BCE" w:rsidRPr="0090305A">
        <w:rPr>
          <w:color w:val="000000" w:themeColor="text1"/>
        </w:rPr>
        <w:t xml:space="preserve"> </w:t>
      </w:r>
      <w:r w:rsidR="00E851EF" w:rsidRPr="0090305A">
        <w:rPr>
          <w:color w:val="000000" w:themeColor="text1"/>
        </w:rPr>
        <w:t>this topic</w:t>
      </w:r>
      <w:r w:rsidR="00990BCE" w:rsidRPr="0090305A">
        <w:rPr>
          <w:color w:val="000000" w:themeColor="text1"/>
        </w:rPr>
        <w:t xml:space="preserve">, seeking to understand how dyadic, group, organizational, or mass communication processes facilitate the development or maintenance of resilience (Carlson, 2018). </w:t>
      </w:r>
      <w:r w:rsidR="00E85EC9" w:rsidRPr="0090305A">
        <w:rPr>
          <w:color w:val="000000" w:themeColor="text1"/>
        </w:rPr>
        <w:t xml:space="preserve">Central to this shift is the conceptualization of resilience as a communicative construction that hinges on five </w:t>
      </w:r>
      <w:r w:rsidR="00E85EC9" w:rsidRPr="0090305A">
        <w:rPr>
          <w:color w:val="000000" w:themeColor="text1"/>
        </w:rPr>
        <w:lastRenderedPageBreak/>
        <w:t>processes: crafting normalcy; maintaining and using communication networks; putting alternative logics to work; legitimizing negative feelings while foregrounding productive action; and affirming identity anchors (Buzzanell, 2010).</w:t>
      </w:r>
    </w:p>
    <w:p w14:paraId="21AD87BD" w14:textId="0F11BA1A" w:rsidR="005203CB" w:rsidRPr="0090305A" w:rsidRDefault="00990BCE">
      <w:pPr>
        <w:pStyle w:val="TextoAPA"/>
        <w:rPr>
          <w:color w:val="000000" w:themeColor="text1"/>
        </w:rPr>
      </w:pPr>
      <w:r w:rsidRPr="0090305A">
        <w:rPr>
          <w:color w:val="000000" w:themeColor="text1"/>
        </w:rPr>
        <w:t xml:space="preserve">However, </w:t>
      </w:r>
      <w:r w:rsidR="00965D08" w:rsidRPr="0090305A">
        <w:rPr>
          <w:color w:val="000000" w:themeColor="text1"/>
        </w:rPr>
        <w:t xml:space="preserve">limited attention has been paid to </w:t>
      </w:r>
      <w:r w:rsidR="002F4E32" w:rsidRPr="0090305A">
        <w:rPr>
          <w:color w:val="000000" w:themeColor="text1"/>
        </w:rPr>
        <w:t>the concept of resilience in the communication management field</w:t>
      </w:r>
      <w:r w:rsidR="00BA3E1C" w:rsidRPr="0090305A">
        <w:rPr>
          <w:color w:val="000000" w:themeColor="text1"/>
        </w:rPr>
        <w:t xml:space="preserve"> from an individual approach</w:t>
      </w:r>
      <w:r w:rsidR="002F4E32" w:rsidRPr="0090305A">
        <w:rPr>
          <w:color w:val="000000" w:themeColor="text1"/>
        </w:rPr>
        <w:t>,</w:t>
      </w:r>
      <w:r w:rsidR="006F69CE" w:rsidRPr="0090305A">
        <w:rPr>
          <w:color w:val="000000" w:themeColor="text1"/>
        </w:rPr>
        <w:t xml:space="preserve"> but it may be crucial due to</w:t>
      </w:r>
      <w:r w:rsidR="00D54731" w:rsidRPr="0090305A">
        <w:rPr>
          <w:color w:val="000000" w:themeColor="text1"/>
        </w:rPr>
        <w:t xml:space="preserve"> the micro</w:t>
      </w:r>
      <w:r w:rsidR="00031E9E" w:rsidRPr="0090305A">
        <w:rPr>
          <w:color w:val="000000" w:themeColor="text1"/>
        </w:rPr>
        <w:t xml:space="preserve"> (individual)</w:t>
      </w:r>
      <w:r w:rsidR="00D54731" w:rsidRPr="0090305A">
        <w:rPr>
          <w:color w:val="000000" w:themeColor="text1"/>
        </w:rPr>
        <w:t xml:space="preserve">, </w:t>
      </w:r>
      <w:r w:rsidR="006F69CE" w:rsidRPr="0090305A">
        <w:rPr>
          <w:color w:val="000000" w:themeColor="text1"/>
        </w:rPr>
        <w:t>meso</w:t>
      </w:r>
      <w:r w:rsidR="00031E9E" w:rsidRPr="0090305A">
        <w:rPr>
          <w:color w:val="000000" w:themeColor="text1"/>
        </w:rPr>
        <w:t xml:space="preserve"> (organizational)</w:t>
      </w:r>
      <w:r w:rsidR="006F69CE" w:rsidRPr="0090305A">
        <w:rPr>
          <w:color w:val="000000" w:themeColor="text1"/>
        </w:rPr>
        <w:t>, and macro</w:t>
      </w:r>
      <w:r w:rsidR="00031E9E" w:rsidRPr="0090305A">
        <w:rPr>
          <w:color w:val="000000" w:themeColor="text1"/>
        </w:rPr>
        <w:t xml:space="preserve"> (societal) </w:t>
      </w:r>
      <w:r w:rsidR="006F69CE" w:rsidRPr="0090305A">
        <w:rPr>
          <w:color w:val="000000" w:themeColor="text1"/>
        </w:rPr>
        <w:t xml:space="preserve">effect of public relations work. </w:t>
      </w:r>
      <w:r w:rsidR="00AE3E82" w:rsidRPr="0090305A">
        <w:rPr>
          <w:color w:val="000000" w:themeColor="text1"/>
        </w:rPr>
        <w:t>This</w:t>
      </w:r>
      <w:r w:rsidR="005203CB" w:rsidRPr="0090305A">
        <w:rPr>
          <w:color w:val="000000" w:themeColor="text1"/>
        </w:rPr>
        <w:t xml:space="preserve"> field provides an intriguing context to study resilience because practitioners are regularly engaged in work that may require the ability to “bounce back” from challenging work</w:t>
      </w:r>
      <w:r w:rsidR="00223CB7" w:rsidRPr="0090305A">
        <w:rPr>
          <w:color w:val="000000" w:themeColor="text1"/>
        </w:rPr>
        <w:t xml:space="preserve"> (Coutu, 2002)</w:t>
      </w:r>
      <w:r w:rsidR="005203CB" w:rsidRPr="0090305A">
        <w:rPr>
          <w:color w:val="000000" w:themeColor="text1"/>
        </w:rPr>
        <w:t>.</w:t>
      </w:r>
      <w:r w:rsidR="008246D3" w:rsidRPr="0090305A">
        <w:rPr>
          <w:color w:val="000000" w:themeColor="text1"/>
        </w:rPr>
        <w:t xml:space="preserve"> </w:t>
      </w:r>
    </w:p>
    <w:p w14:paraId="64D23BCF" w14:textId="3400FBE8" w:rsidR="00A950B3" w:rsidRPr="0090305A" w:rsidRDefault="002F4E32" w:rsidP="0090305A">
      <w:pPr>
        <w:pStyle w:val="TextoAPA"/>
      </w:pPr>
      <w:r w:rsidRPr="0090305A">
        <w:rPr>
          <w:color w:val="000000" w:themeColor="text1"/>
        </w:rPr>
        <w:t>In a recent</w:t>
      </w:r>
      <w:r w:rsidR="00BB5A0E" w:rsidRPr="0090305A">
        <w:rPr>
          <w:color w:val="000000" w:themeColor="text1"/>
        </w:rPr>
        <w:t xml:space="preserve"> </w:t>
      </w:r>
      <w:r w:rsidR="008246D3" w:rsidRPr="0090305A">
        <w:rPr>
          <w:color w:val="000000" w:themeColor="text1"/>
        </w:rPr>
        <w:t>attempt to fill this gap</w:t>
      </w:r>
      <w:r w:rsidR="00BB5A0E" w:rsidRPr="0090305A">
        <w:rPr>
          <w:color w:val="000000" w:themeColor="text1"/>
        </w:rPr>
        <w:t xml:space="preserve">, </w:t>
      </w:r>
      <w:r w:rsidR="00BF4B95" w:rsidRPr="0090305A">
        <w:rPr>
          <w:color w:val="000000" w:themeColor="text1"/>
        </w:rPr>
        <w:t>Guo and</w:t>
      </w:r>
      <w:r w:rsidR="00167B20" w:rsidRPr="0090305A">
        <w:rPr>
          <w:color w:val="000000" w:themeColor="text1"/>
        </w:rPr>
        <w:t xml:space="preserve"> Anderson</w:t>
      </w:r>
      <w:r w:rsidR="00965D08" w:rsidRPr="0090305A">
        <w:rPr>
          <w:color w:val="000000" w:themeColor="text1"/>
        </w:rPr>
        <w:t xml:space="preserve"> </w:t>
      </w:r>
      <w:r w:rsidR="00BF4B95" w:rsidRPr="0090305A">
        <w:rPr>
          <w:color w:val="000000" w:themeColor="text1"/>
        </w:rPr>
        <w:t>(</w:t>
      </w:r>
      <w:r w:rsidR="001B1B15" w:rsidRPr="0090305A">
        <w:rPr>
          <w:color w:val="000000" w:themeColor="text1"/>
        </w:rPr>
        <w:t>2018)</w:t>
      </w:r>
      <w:r w:rsidR="008246D3" w:rsidRPr="0090305A">
        <w:rPr>
          <w:color w:val="000000" w:themeColor="text1"/>
        </w:rPr>
        <w:t xml:space="preserve"> conducted a qualitative exploratory study and </w:t>
      </w:r>
      <w:r w:rsidR="00167B20" w:rsidRPr="0090305A">
        <w:rPr>
          <w:color w:val="000000" w:themeColor="text1"/>
        </w:rPr>
        <w:t xml:space="preserve">identified </w:t>
      </w:r>
      <w:r w:rsidR="00BC2656" w:rsidRPr="0090305A">
        <w:rPr>
          <w:color w:val="000000" w:themeColor="text1"/>
        </w:rPr>
        <w:t xml:space="preserve">workplace adversities </w:t>
      </w:r>
      <w:r w:rsidR="00167B20" w:rsidRPr="0090305A">
        <w:rPr>
          <w:color w:val="000000" w:themeColor="text1"/>
        </w:rPr>
        <w:t>that are unique to public relations practitioners, such as marginalization, misunderstanding by the C-Suite</w:t>
      </w:r>
      <w:r w:rsidR="00EB4E2C" w:rsidRPr="0090305A">
        <w:rPr>
          <w:color w:val="000000" w:themeColor="text1"/>
        </w:rPr>
        <w:t>, and managing cultural shifts</w:t>
      </w:r>
      <w:r w:rsidR="0015590D" w:rsidRPr="0090305A">
        <w:rPr>
          <w:color w:val="000000" w:themeColor="text1"/>
        </w:rPr>
        <w:t xml:space="preserve"> during organizational changes. </w:t>
      </w:r>
      <w:r w:rsidR="00C84740" w:rsidRPr="0090305A">
        <w:rPr>
          <w:color w:val="000000" w:themeColor="text1"/>
        </w:rPr>
        <w:t>This pioneer work</w:t>
      </w:r>
      <w:r w:rsidR="00670B9C" w:rsidRPr="0090305A">
        <w:rPr>
          <w:color w:val="000000" w:themeColor="text1"/>
        </w:rPr>
        <w:t xml:space="preserve"> also</w:t>
      </w:r>
      <w:r w:rsidR="00C84740" w:rsidRPr="0090305A">
        <w:rPr>
          <w:color w:val="000000" w:themeColor="text1"/>
        </w:rPr>
        <w:t xml:space="preserve"> </w:t>
      </w:r>
      <w:r w:rsidR="00670B9C" w:rsidRPr="0090305A">
        <w:rPr>
          <w:color w:val="000000" w:themeColor="text1"/>
        </w:rPr>
        <w:t>found four paths to resilience: disengage and bounce forward, persevere and bounce up, risk and bounce back, and finally, struggle and bounce around.</w:t>
      </w:r>
      <w:r w:rsidR="002E6EFE" w:rsidRPr="0090305A">
        <w:rPr>
          <w:color w:val="000000" w:themeColor="text1"/>
        </w:rPr>
        <w:t xml:space="preserve"> The differences among the four paths seem to lie, according to the authors</w:t>
      </w:r>
      <w:r w:rsidR="00A86BB6" w:rsidRPr="0090305A">
        <w:rPr>
          <w:color w:val="000000" w:themeColor="text1"/>
        </w:rPr>
        <w:t>,</w:t>
      </w:r>
      <w:r w:rsidR="002E6EFE" w:rsidRPr="0090305A">
        <w:rPr>
          <w:color w:val="000000" w:themeColor="text1"/>
        </w:rPr>
        <w:t xml:space="preserve"> in individual attributes, perceived workplace environment, and sensemaking patterns</w:t>
      </w:r>
      <w:r w:rsidR="00EE7802">
        <w:rPr>
          <w:color w:val="000000" w:themeColor="text1"/>
        </w:rPr>
        <w:t>.</w:t>
      </w:r>
    </w:p>
    <w:p w14:paraId="56EDF7AB" w14:textId="77777777" w:rsidR="00F700EA" w:rsidRPr="0090305A" w:rsidRDefault="00F700EA" w:rsidP="00EE7802">
      <w:pPr>
        <w:pStyle w:val="Normal11"/>
        <w:spacing w:after="0" w:line="480" w:lineRule="auto"/>
        <w:ind w:firstLine="720"/>
        <w:contextualSpacing/>
        <w:outlineLvl w:val="0"/>
        <w:rPr>
          <w:rFonts w:ascii="Times New Roman" w:eastAsia="Times New Roman" w:hAnsi="Times New Roman" w:cs="Times New Roman"/>
          <w:b/>
          <w:color w:val="000000" w:themeColor="text1"/>
          <w:sz w:val="24"/>
          <w:szCs w:val="24"/>
        </w:rPr>
      </w:pPr>
      <w:r w:rsidRPr="0090305A">
        <w:rPr>
          <w:rFonts w:ascii="Times New Roman" w:eastAsia="Times New Roman" w:hAnsi="Times New Roman" w:cs="Times New Roman"/>
          <w:b/>
          <w:color w:val="000000" w:themeColor="text1"/>
          <w:sz w:val="24"/>
          <w:szCs w:val="24"/>
        </w:rPr>
        <w:t>Public Relations in Latin America</w:t>
      </w:r>
    </w:p>
    <w:p w14:paraId="2151ABDA" w14:textId="24CCC2C8" w:rsidR="00A71769" w:rsidRPr="0090305A" w:rsidRDefault="00084109">
      <w:pPr>
        <w:pStyle w:val="TextoAPA"/>
        <w:rPr>
          <w:color w:val="000000" w:themeColor="text1"/>
        </w:rPr>
      </w:pPr>
      <w:r w:rsidRPr="0090305A">
        <w:rPr>
          <w:color w:val="000000" w:themeColor="text1"/>
        </w:rPr>
        <w:t>Public</w:t>
      </w:r>
      <w:r w:rsidR="00F47E63" w:rsidRPr="0090305A">
        <w:rPr>
          <w:color w:val="000000" w:themeColor="text1"/>
        </w:rPr>
        <w:t xml:space="preserve"> relations in Latin America </w:t>
      </w:r>
      <w:r w:rsidR="00FA2B52" w:rsidRPr="0090305A">
        <w:rPr>
          <w:color w:val="000000" w:themeColor="text1"/>
        </w:rPr>
        <w:t>began to develop following the gradual introduction of democracy,</w:t>
      </w:r>
      <w:r w:rsidR="00FF4E80" w:rsidRPr="0090305A">
        <w:rPr>
          <w:color w:val="000000" w:themeColor="text1"/>
        </w:rPr>
        <w:t xml:space="preserve"> and</w:t>
      </w:r>
      <w:r w:rsidR="00FA2B52" w:rsidRPr="0090305A">
        <w:rPr>
          <w:color w:val="000000" w:themeColor="text1"/>
        </w:rPr>
        <w:t xml:space="preserve"> the liberalization of the news media system</w:t>
      </w:r>
      <w:r w:rsidR="00FF4E80" w:rsidRPr="0090305A">
        <w:rPr>
          <w:color w:val="000000" w:themeColor="text1"/>
        </w:rPr>
        <w:t xml:space="preserve"> </w:t>
      </w:r>
      <w:r w:rsidR="00F47E63" w:rsidRPr="0090305A">
        <w:rPr>
          <w:color w:val="000000" w:themeColor="text1"/>
        </w:rPr>
        <w:t>in the ear</w:t>
      </w:r>
      <w:r w:rsidR="00D721A8" w:rsidRPr="0090305A">
        <w:rPr>
          <w:color w:val="000000" w:themeColor="text1"/>
        </w:rPr>
        <w:t>ly 1970s</w:t>
      </w:r>
      <w:r w:rsidR="00F47E63" w:rsidRPr="0090305A">
        <w:rPr>
          <w:color w:val="000000" w:themeColor="text1"/>
        </w:rPr>
        <w:t xml:space="preserve"> (Mellado &amp; Barría, 2012; Sharpe &amp; Simoes, 1996). </w:t>
      </w:r>
      <w:r w:rsidR="00B951E6" w:rsidRPr="0090305A">
        <w:rPr>
          <w:color w:val="000000" w:themeColor="text1"/>
        </w:rPr>
        <w:t>During the last two decades</w:t>
      </w:r>
      <w:r w:rsidR="006C26C8" w:rsidRPr="0090305A">
        <w:rPr>
          <w:color w:val="000000" w:themeColor="text1"/>
        </w:rPr>
        <w:t xml:space="preserve">, </w:t>
      </w:r>
      <w:r w:rsidR="0010198B" w:rsidRPr="0090305A">
        <w:rPr>
          <w:color w:val="000000" w:themeColor="text1"/>
        </w:rPr>
        <w:t xml:space="preserve">PR </w:t>
      </w:r>
      <w:r w:rsidR="00872687" w:rsidRPr="0090305A">
        <w:rPr>
          <w:color w:val="000000" w:themeColor="text1"/>
        </w:rPr>
        <w:t>scholars</w:t>
      </w:r>
      <w:r w:rsidR="002B42CA" w:rsidRPr="0090305A">
        <w:rPr>
          <w:color w:val="000000" w:themeColor="text1"/>
        </w:rPr>
        <w:t xml:space="preserve"> have shown </w:t>
      </w:r>
      <w:r w:rsidR="006C26C8" w:rsidRPr="0090305A">
        <w:rPr>
          <w:color w:val="000000" w:themeColor="text1"/>
        </w:rPr>
        <w:t xml:space="preserve">a greater interest in </w:t>
      </w:r>
      <w:r w:rsidR="00FF4E80" w:rsidRPr="0090305A">
        <w:rPr>
          <w:color w:val="000000" w:themeColor="text1"/>
        </w:rPr>
        <w:t>this region</w:t>
      </w:r>
      <w:r w:rsidR="006C26C8" w:rsidRPr="0090305A">
        <w:rPr>
          <w:color w:val="000000" w:themeColor="text1"/>
        </w:rPr>
        <w:t xml:space="preserve"> as a result of the improved economic situation, the effects of globalization and the strengthening of media systems in many countries.</w:t>
      </w:r>
      <w:r w:rsidR="00085291" w:rsidRPr="0090305A">
        <w:rPr>
          <w:color w:val="000000" w:themeColor="text1"/>
        </w:rPr>
        <w:t xml:space="preserve"> </w:t>
      </w:r>
      <w:r w:rsidR="00B71F56" w:rsidRPr="0090305A">
        <w:rPr>
          <w:color w:val="000000" w:themeColor="text1"/>
        </w:rPr>
        <w:t>N</w:t>
      </w:r>
      <w:r w:rsidR="00F700EA" w:rsidRPr="0090305A">
        <w:rPr>
          <w:color w:val="000000" w:themeColor="text1"/>
        </w:rPr>
        <w:t xml:space="preserve">umerous articles </w:t>
      </w:r>
      <w:r w:rsidR="00FF73C8" w:rsidRPr="0090305A">
        <w:rPr>
          <w:color w:val="000000" w:themeColor="text1"/>
        </w:rPr>
        <w:t xml:space="preserve">(e.g., </w:t>
      </w:r>
      <w:r w:rsidR="00FF73C8" w:rsidRPr="0090305A">
        <w:rPr>
          <w:color w:val="000000" w:themeColor="text1"/>
        </w:rPr>
        <w:lastRenderedPageBreak/>
        <w:t>De Brooks, Penaloza, &amp; Waymer, 2009; Mellado &amp; Barría, 2012; Molleda, Athaydes, &amp; Hirsch, 2003; Molleda, Moreno, &amp; Navarro, 2017; Molleda &amp; Moreno, 2008</w:t>
      </w:r>
      <w:r w:rsidR="00860D82">
        <w:rPr>
          <w:color w:val="000000" w:themeColor="text1"/>
        </w:rPr>
        <w:t>;</w:t>
      </w:r>
      <w:r w:rsidR="00FF73C8" w:rsidRPr="0090305A">
        <w:rPr>
          <w:color w:val="000000" w:themeColor="text1"/>
        </w:rPr>
        <w:t xml:space="preserve"> Molleda, Moreno, Athaydes &amp; Suárez, 2010)</w:t>
      </w:r>
      <w:r w:rsidR="00467036" w:rsidRPr="0090305A">
        <w:rPr>
          <w:color w:val="000000" w:themeColor="text1"/>
        </w:rPr>
        <w:t xml:space="preserve"> have contributed to widen</w:t>
      </w:r>
      <w:r w:rsidR="00B951E6" w:rsidRPr="0090305A">
        <w:rPr>
          <w:color w:val="000000" w:themeColor="text1"/>
        </w:rPr>
        <w:t>ing</w:t>
      </w:r>
      <w:r w:rsidR="00467036" w:rsidRPr="0090305A">
        <w:rPr>
          <w:color w:val="000000" w:themeColor="text1"/>
        </w:rPr>
        <w:t xml:space="preserve"> the knowledge of </w:t>
      </w:r>
      <w:r w:rsidR="009B561F" w:rsidRPr="0090305A">
        <w:rPr>
          <w:color w:val="000000" w:themeColor="text1"/>
        </w:rPr>
        <w:t>the regional industry</w:t>
      </w:r>
      <w:r w:rsidR="00D721A8" w:rsidRPr="0090305A">
        <w:rPr>
          <w:color w:val="000000" w:themeColor="text1"/>
        </w:rPr>
        <w:t>, with the Latin American C</w:t>
      </w:r>
      <w:r w:rsidR="00944F23" w:rsidRPr="0090305A">
        <w:rPr>
          <w:color w:val="000000" w:themeColor="text1"/>
        </w:rPr>
        <w:t>ommunication Monitor as a flag</w:t>
      </w:r>
      <w:r w:rsidR="00D721A8" w:rsidRPr="0090305A">
        <w:rPr>
          <w:color w:val="000000" w:themeColor="text1"/>
        </w:rPr>
        <w:t>ship</w:t>
      </w:r>
      <w:r w:rsidR="00944F23" w:rsidRPr="0090305A">
        <w:rPr>
          <w:color w:val="000000" w:themeColor="text1"/>
        </w:rPr>
        <w:t xml:space="preserve"> research project</w:t>
      </w:r>
      <w:r w:rsidR="00D721A8" w:rsidRPr="0090305A">
        <w:rPr>
          <w:color w:val="000000" w:themeColor="text1"/>
        </w:rPr>
        <w:t xml:space="preserve"> in </w:t>
      </w:r>
      <w:r w:rsidR="00944F23" w:rsidRPr="0090305A">
        <w:rPr>
          <w:color w:val="000000" w:themeColor="text1"/>
        </w:rPr>
        <w:t xml:space="preserve">the </w:t>
      </w:r>
      <w:r w:rsidR="00960830" w:rsidRPr="0090305A">
        <w:rPr>
          <w:color w:val="000000" w:themeColor="text1"/>
        </w:rPr>
        <w:t>continent</w:t>
      </w:r>
      <w:r w:rsidR="00B71F56" w:rsidRPr="0090305A">
        <w:rPr>
          <w:color w:val="000000" w:themeColor="text1"/>
        </w:rPr>
        <w:t xml:space="preserve">. </w:t>
      </w:r>
      <w:r w:rsidR="002B3152" w:rsidRPr="0090305A">
        <w:rPr>
          <w:color w:val="000000" w:themeColor="text1"/>
        </w:rPr>
        <w:t xml:space="preserve">However, </w:t>
      </w:r>
      <w:r w:rsidR="002B42CA" w:rsidRPr="0090305A">
        <w:rPr>
          <w:color w:val="000000" w:themeColor="text1"/>
        </w:rPr>
        <w:t xml:space="preserve">public relations field in Latin America remains </w:t>
      </w:r>
      <w:r w:rsidR="00467036" w:rsidRPr="0090305A">
        <w:rPr>
          <w:color w:val="000000" w:themeColor="text1"/>
        </w:rPr>
        <w:t xml:space="preserve">largely </w:t>
      </w:r>
      <w:r w:rsidR="002B42CA" w:rsidRPr="0090305A">
        <w:rPr>
          <w:color w:val="000000" w:themeColor="text1"/>
        </w:rPr>
        <w:t>unexplored.</w:t>
      </w:r>
    </w:p>
    <w:p w14:paraId="54242341" w14:textId="5E5941C7" w:rsidR="00C77C8A" w:rsidRPr="0090305A" w:rsidRDefault="00033240" w:rsidP="0090305A">
      <w:pPr>
        <w:pStyle w:val="Sombreadomulticolor-nfasis31"/>
        <w:spacing w:after="0" w:line="480" w:lineRule="auto"/>
        <w:ind w:left="0" w:firstLine="708"/>
        <w:contextualSpacing w:val="0"/>
        <w:rPr>
          <w:rFonts w:ascii="Times New Roman" w:hAnsi="Times New Roman"/>
          <w:noProof w:val="0"/>
          <w:color w:val="000000" w:themeColor="text1"/>
          <w:sz w:val="24"/>
          <w:szCs w:val="24"/>
        </w:rPr>
      </w:pPr>
      <w:r w:rsidRPr="0090305A">
        <w:rPr>
          <w:rFonts w:ascii="Times New Roman" w:hAnsi="Times New Roman"/>
          <w:noProof w:val="0"/>
          <w:color w:val="000000" w:themeColor="text1"/>
          <w:sz w:val="24"/>
          <w:szCs w:val="24"/>
        </w:rPr>
        <w:t>If the study of resilience is</w:t>
      </w:r>
      <w:r w:rsidR="00164A97" w:rsidRPr="0090305A">
        <w:rPr>
          <w:rFonts w:ascii="Times New Roman" w:hAnsi="Times New Roman"/>
          <w:noProof w:val="0"/>
          <w:color w:val="000000" w:themeColor="text1"/>
          <w:sz w:val="24"/>
          <w:szCs w:val="24"/>
        </w:rPr>
        <w:t xml:space="preserve"> </w:t>
      </w:r>
      <w:r w:rsidR="00D527EB" w:rsidRPr="0090305A">
        <w:rPr>
          <w:rFonts w:ascii="Times New Roman" w:hAnsi="Times New Roman"/>
          <w:noProof w:val="0"/>
          <w:color w:val="000000" w:themeColor="text1"/>
          <w:sz w:val="24"/>
          <w:szCs w:val="24"/>
        </w:rPr>
        <w:t>key</w:t>
      </w:r>
      <w:r w:rsidR="001E71FF" w:rsidRPr="0090305A">
        <w:rPr>
          <w:rFonts w:ascii="Times New Roman" w:hAnsi="Times New Roman"/>
          <w:noProof w:val="0"/>
          <w:color w:val="000000" w:themeColor="text1"/>
          <w:sz w:val="24"/>
          <w:szCs w:val="24"/>
        </w:rPr>
        <w:t xml:space="preserve"> to</w:t>
      </w:r>
      <w:r w:rsidR="00C84723" w:rsidRPr="0090305A">
        <w:rPr>
          <w:rFonts w:ascii="Times New Roman" w:hAnsi="Times New Roman"/>
          <w:noProof w:val="0"/>
          <w:color w:val="000000" w:themeColor="text1"/>
          <w:sz w:val="24"/>
          <w:szCs w:val="24"/>
        </w:rPr>
        <w:t xml:space="preserve"> identify</w:t>
      </w:r>
      <w:r w:rsidR="00D527EB" w:rsidRPr="0090305A">
        <w:rPr>
          <w:rFonts w:ascii="Times New Roman" w:hAnsi="Times New Roman"/>
          <w:noProof w:val="0"/>
          <w:color w:val="000000" w:themeColor="text1"/>
          <w:sz w:val="24"/>
          <w:szCs w:val="24"/>
        </w:rPr>
        <w:t xml:space="preserve"> and evaluate</w:t>
      </w:r>
      <w:r w:rsidR="000F5011" w:rsidRPr="0090305A">
        <w:rPr>
          <w:rFonts w:ascii="Times New Roman" w:hAnsi="Times New Roman"/>
          <w:noProof w:val="0"/>
          <w:color w:val="000000" w:themeColor="text1"/>
          <w:sz w:val="24"/>
          <w:szCs w:val="24"/>
        </w:rPr>
        <w:t xml:space="preserve"> </w:t>
      </w:r>
      <w:r w:rsidR="00C84723" w:rsidRPr="0090305A">
        <w:rPr>
          <w:rFonts w:ascii="Times New Roman" w:hAnsi="Times New Roman"/>
          <w:noProof w:val="0"/>
          <w:color w:val="000000" w:themeColor="text1"/>
          <w:sz w:val="24"/>
          <w:szCs w:val="24"/>
        </w:rPr>
        <w:t xml:space="preserve">the internal and external resources used to foster positive adaptation to adversity, the Latin American context is </w:t>
      </w:r>
      <w:r w:rsidR="00551FFD" w:rsidRPr="0090305A">
        <w:rPr>
          <w:rFonts w:ascii="Times New Roman" w:hAnsi="Times New Roman"/>
          <w:noProof w:val="0"/>
          <w:color w:val="000000" w:themeColor="text1"/>
          <w:sz w:val="24"/>
          <w:szCs w:val="24"/>
        </w:rPr>
        <w:t xml:space="preserve">particularly interesting </w:t>
      </w:r>
      <w:r w:rsidR="00303DCD" w:rsidRPr="0090305A">
        <w:rPr>
          <w:rFonts w:ascii="Times New Roman" w:hAnsi="Times New Roman"/>
          <w:noProof w:val="0"/>
          <w:color w:val="000000" w:themeColor="text1"/>
          <w:sz w:val="24"/>
          <w:szCs w:val="24"/>
        </w:rPr>
        <w:t>due to the harsh economic, political and social conditions (Molleda, 20</w:t>
      </w:r>
      <w:r w:rsidR="003F2E43" w:rsidRPr="0090305A">
        <w:rPr>
          <w:rFonts w:ascii="Times New Roman" w:hAnsi="Times New Roman"/>
          <w:noProof w:val="0"/>
          <w:color w:val="000000" w:themeColor="text1"/>
          <w:sz w:val="24"/>
          <w:szCs w:val="24"/>
        </w:rPr>
        <w:t>0</w:t>
      </w:r>
      <w:r w:rsidR="00303DCD" w:rsidRPr="0090305A">
        <w:rPr>
          <w:rFonts w:ascii="Times New Roman" w:hAnsi="Times New Roman"/>
          <w:noProof w:val="0"/>
          <w:color w:val="000000" w:themeColor="text1"/>
          <w:sz w:val="24"/>
          <w:szCs w:val="24"/>
        </w:rPr>
        <w:t>1).</w:t>
      </w:r>
      <w:r w:rsidR="00D527EB" w:rsidRPr="0090305A">
        <w:rPr>
          <w:rFonts w:ascii="Times New Roman" w:hAnsi="Times New Roman"/>
          <w:noProof w:val="0"/>
          <w:color w:val="000000" w:themeColor="text1"/>
          <w:sz w:val="24"/>
          <w:szCs w:val="24"/>
        </w:rPr>
        <w:t xml:space="preserve"> </w:t>
      </w:r>
      <w:r w:rsidR="00A11ABC" w:rsidRPr="0090305A">
        <w:rPr>
          <w:rFonts w:ascii="Times New Roman" w:hAnsi="Times New Roman"/>
          <w:noProof w:val="0"/>
          <w:color w:val="000000" w:themeColor="text1"/>
          <w:sz w:val="24"/>
          <w:szCs w:val="24"/>
        </w:rPr>
        <w:t>Th</w:t>
      </w:r>
      <w:r w:rsidR="00505550" w:rsidRPr="0090305A">
        <w:rPr>
          <w:rFonts w:ascii="Times New Roman" w:hAnsi="Times New Roman"/>
          <w:noProof w:val="0"/>
          <w:color w:val="000000" w:themeColor="text1"/>
          <w:sz w:val="24"/>
          <w:szCs w:val="24"/>
        </w:rPr>
        <w:t>is</w:t>
      </w:r>
      <w:r w:rsidR="00A11ABC" w:rsidRPr="0090305A">
        <w:rPr>
          <w:rFonts w:ascii="Times New Roman" w:hAnsi="Times New Roman"/>
          <w:noProof w:val="0"/>
          <w:color w:val="000000" w:themeColor="text1"/>
          <w:sz w:val="24"/>
          <w:szCs w:val="24"/>
        </w:rPr>
        <w:t xml:space="preserve"> paper focuses on </w:t>
      </w:r>
      <w:r w:rsidR="00894311" w:rsidRPr="0090305A">
        <w:rPr>
          <w:rFonts w:ascii="Times New Roman" w:hAnsi="Times New Roman"/>
          <w:noProof w:val="0"/>
          <w:color w:val="000000" w:themeColor="text1"/>
          <w:sz w:val="24"/>
          <w:szCs w:val="24"/>
        </w:rPr>
        <w:t>t</w:t>
      </w:r>
      <w:r w:rsidR="001D388A" w:rsidRPr="0090305A">
        <w:rPr>
          <w:rFonts w:ascii="Times New Roman" w:hAnsi="Times New Roman"/>
          <w:noProof w:val="0"/>
          <w:color w:val="000000" w:themeColor="text1"/>
          <w:sz w:val="24"/>
          <w:szCs w:val="24"/>
        </w:rPr>
        <w:t>wo</w:t>
      </w:r>
      <w:r w:rsidR="00894311" w:rsidRPr="0090305A">
        <w:rPr>
          <w:rFonts w:ascii="Times New Roman" w:hAnsi="Times New Roman"/>
          <w:noProof w:val="0"/>
          <w:color w:val="000000" w:themeColor="text1"/>
          <w:sz w:val="24"/>
          <w:szCs w:val="24"/>
        </w:rPr>
        <w:t xml:space="preserve"> </w:t>
      </w:r>
      <w:r w:rsidR="00A11ABC" w:rsidRPr="0090305A">
        <w:rPr>
          <w:rFonts w:ascii="Times New Roman" w:hAnsi="Times New Roman"/>
          <w:noProof w:val="0"/>
          <w:color w:val="000000" w:themeColor="text1"/>
          <w:sz w:val="24"/>
          <w:szCs w:val="24"/>
        </w:rPr>
        <w:t>research questions</w:t>
      </w:r>
      <w:r w:rsidR="009B33DB" w:rsidRPr="0090305A">
        <w:rPr>
          <w:rFonts w:ascii="Times New Roman" w:hAnsi="Times New Roman"/>
          <w:noProof w:val="0"/>
          <w:color w:val="000000" w:themeColor="text1"/>
          <w:sz w:val="24"/>
          <w:szCs w:val="24"/>
        </w:rPr>
        <w:t xml:space="preserve"> and </w:t>
      </w:r>
      <w:r w:rsidR="00972339" w:rsidRPr="0090305A">
        <w:rPr>
          <w:rFonts w:ascii="Times New Roman" w:hAnsi="Times New Roman"/>
          <w:noProof w:val="0"/>
          <w:color w:val="000000" w:themeColor="text1"/>
          <w:sz w:val="24"/>
          <w:szCs w:val="24"/>
        </w:rPr>
        <w:t>eight</w:t>
      </w:r>
      <w:r w:rsidR="00D160F5" w:rsidRPr="0090305A">
        <w:rPr>
          <w:rFonts w:ascii="Times New Roman" w:hAnsi="Times New Roman"/>
          <w:noProof w:val="0"/>
          <w:color w:val="000000" w:themeColor="text1"/>
          <w:sz w:val="24"/>
          <w:szCs w:val="24"/>
        </w:rPr>
        <w:t xml:space="preserve"> hypotheses</w:t>
      </w:r>
      <w:r w:rsidR="00A11ABC" w:rsidRPr="0090305A">
        <w:rPr>
          <w:rFonts w:ascii="Times New Roman" w:hAnsi="Times New Roman"/>
          <w:noProof w:val="0"/>
          <w:color w:val="000000" w:themeColor="text1"/>
          <w:sz w:val="24"/>
          <w:szCs w:val="24"/>
        </w:rPr>
        <w:t xml:space="preserve"> derived from a literatu</w:t>
      </w:r>
      <w:r w:rsidR="002F1C60" w:rsidRPr="0090305A">
        <w:rPr>
          <w:rFonts w:ascii="Times New Roman" w:hAnsi="Times New Roman"/>
          <w:noProof w:val="0"/>
          <w:color w:val="000000" w:themeColor="text1"/>
          <w:sz w:val="24"/>
          <w:szCs w:val="24"/>
        </w:rPr>
        <w:t>re review</w:t>
      </w:r>
      <w:r w:rsidR="00A11ABC" w:rsidRPr="0090305A">
        <w:rPr>
          <w:rFonts w:ascii="Times New Roman" w:hAnsi="Times New Roman"/>
          <w:noProof w:val="0"/>
          <w:color w:val="000000" w:themeColor="text1"/>
          <w:sz w:val="24"/>
          <w:szCs w:val="24"/>
        </w:rPr>
        <w:t>:</w:t>
      </w:r>
    </w:p>
    <w:p w14:paraId="50DE8345" w14:textId="7EEA893B" w:rsidR="00D160F5" w:rsidRPr="0090305A" w:rsidRDefault="00D160F5" w:rsidP="00EE7802">
      <w:pPr>
        <w:pStyle w:val="TextoAPA"/>
        <w:ind w:firstLine="0"/>
        <w:rPr>
          <w:color w:val="000000" w:themeColor="text1"/>
        </w:rPr>
      </w:pPr>
      <w:r w:rsidRPr="0090305A">
        <w:rPr>
          <w:color w:val="000000" w:themeColor="text1"/>
        </w:rPr>
        <w:t>RQ1: What is the factorial structure of the CD-RISC scale in a public relations population of Latin America?</w:t>
      </w:r>
    </w:p>
    <w:p w14:paraId="2EEAFAF0" w14:textId="77777777" w:rsidR="001D388A" w:rsidRPr="0090305A" w:rsidRDefault="001D388A" w:rsidP="00036EA0">
      <w:pPr>
        <w:pStyle w:val="TextoAPA"/>
        <w:ind w:left="720" w:firstLine="0"/>
        <w:rPr>
          <w:color w:val="000000" w:themeColor="text1"/>
        </w:rPr>
      </w:pPr>
      <w:r w:rsidRPr="0090305A">
        <w:rPr>
          <w:color w:val="000000" w:themeColor="text1"/>
        </w:rPr>
        <w:t xml:space="preserve">H1a. The reliability of the total CD-RISC scale is expected to be good as previous studies have shown </w:t>
      </w:r>
    </w:p>
    <w:p w14:paraId="07A98BBA" w14:textId="77777777" w:rsidR="001D388A" w:rsidRPr="0090305A" w:rsidRDefault="001D388A">
      <w:pPr>
        <w:pStyle w:val="TextoAPA"/>
        <w:ind w:left="720" w:firstLine="0"/>
        <w:rPr>
          <w:color w:val="000000" w:themeColor="text1"/>
        </w:rPr>
      </w:pPr>
      <w:r w:rsidRPr="0090305A">
        <w:rPr>
          <w:color w:val="000000" w:themeColor="text1"/>
        </w:rPr>
        <w:t>H1.b. The factorial structure will be organized into five factors as in the original (Connor &amp; Davidson, 2003).</w:t>
      </w:r>
    </w:p>
    <w:p w14:paraId="3BC0AC9C" w14:textId="46B61196" w:rsidR="002F1C60" w:rsidRPr="0090305A" w:rsidRDefault="002F1C60">
      <w:pPr>
        <w:pStyle w:val="TextoAPA"/>
        <w:ind w:firstLine="0"/>
        <w:rPr>
          <w:color w:val="000000" w:themeColor="text1"/>
        </w:rPr>
      </w:pPr>
      <w:r w:rsidRPr="0090305A">
        <w:rPr>
          <w:color w:val="000000" w:themeColor="text1"/>
        </w:rPr>
        <w:t>RQ</w:t>
      </w:r>
      <w:r w:rsidR="001D388A" w:rsidRPr="0090305A">
        <w:rPr>
          <w:color w:val="000000" w:themeColor="text1"/>
        </w:rPr>
        <w:t>2</w:t>
      </w:r>
      <w:r w:rsidR="00D160F5" w:rsidRPr="0090305A">
        <w:rPr>
          <w:color w:val="000000" w:themeColor="text1"/>
        </w:rPr>
        <w:t xml:space="preserve">: </w:t>
      </w:r>
      <w:r w:rsidR="000549EA" w:rsidRPr="0090305A">
        <w:rPr>
          <w:color w:val="000000" w:themeColor="text1"/>
        </w:rPr>
        <w:t>What demographic</w:t>
      </w:r>
      <w:r w:rsidR="00B446B8" w:rsidRPr="0090305A">
        <w:rPr>
          <w:color w:val="000000" w:themeColor="text1"/>
        </w:rPr>
        <w:t>, socioeconomic,</w:t>
      </w:r>
      <w:r w:rsidR="002D4043" w:rsidRPr="0090305A">
        <w:rPr>
          <w:color w:val="000000" w:themeColor="text1"/>
        </w:rPr>
        <w:t xml:space="preserve"> </w:t>
      </w:r>
      <w:r w:rsidR="00C75753" w:rsidRPr="0090305A">
        <w:rPr>
          <w:color w:val="000000" w:themeColor="text1"/>
        </w:rPr>
        <w:t xml:space="preserve">and work-related </w:t>
      </w:r>
      <w:r w:rsidR="000549EA" w:rsidRPr="0090305A">
        <w:rPr>
          <w:color w:val="000000" w:themeColor="text1"/>
        </w:rPr>
        <w:t>variables influence the</w:t>
      </w:r>
      <w:r w:rsidRPr="0090305A">
        <w:rPr>
          <w:color w:val="000000" w:themeColor="text1"/>
        </w:rPr>
        <w:t xml:space="preserve"> resilien</w:t>
      </w:r>
      <w:r w:rsidR="00BB2D15" w:rsidRPr="0090305A">
        <w:rPr>
          <w:color w:val="000000" w:themeColor="text1"/>
        </w:rPr>
        <w:t>ce</w:t>
      </w:r>
      <w:r w:rsidRPr="0090305A">
        <w:rPr>
          <w:color w:val="000000" w:themeColor="text1"/>
        </w:rPr>
        <w:t xml:space="preserve"> </w:t>
      </w:r>
      <w:r w:rsidR="000549EA" w:rsidRPr="0090305A">
        <w:rPr>
          <w:color w:val="000000" w:themeColor="text1"/>
        </w:rPr>
        <w:t>of public relations practitioners in Latin America</w:t>
      </w:r>
      <w:r w:rsidRPr="0090305A">
        <w:rPr>
          <w:color w:val="000000" w:themeColor="text1"/>
        </w:rPr>
        <w:t xml:space="preserve">? </w:t>
      </w:r>
    </w:p>
    <w:p w14:paraId="45B7972F" w14:textId="4B48F7B0" w:rsidR="00557ABD" w:rsidRPr="0090305A" w:rsidRDefault="0088377E">
      <w:pPr>
        <w:pStyle w:val="TextoAPA"/>
        <w:ind w:left="720" w:firstLine="0"/>
        <w:rPr>
          <w:color w:val="000000" w:themeColor="text1"/>
        </w:rPr>
      </w:pPr>
      <w:r w:rsidRPr="0090305A">
        <w:rPr>
          <w:color w:val="000000" w:themeColor="text1"/>
        </w:rPr>
        <w:t>H2a</w:t>
      </w:r>
      <w:r w:rsidR="00557ABD" w:rsidRPr="0090305A">
        <w:rPr>
          <w:color w:val="000000" w:themeColor="text1"/>
        </w:rPr>
        <w:t xml:space="preserve">. </w:t>
      </w:r>
      <w:r w:rsidRPr="0090305A">
        <w:rPr>
          <w:color w:val="000000" w:themeColor="text1"/>
        </w:rPr>
        <w:t>Higher education correlates positively with resilience</w:t>
      </w:r>
    </w:p>
    <w:p w14:paraId="2F2FBA25" w14:textId="08B97D13" w:rsidR="00557ABD" w:rsidRPr="0090305A" w:rsidRDefault="0088377E">
      <w:pPr>
        <w:pStyle w:val="TextoAPA"/>
        <w:ind w:left="720" w:firstLine="0"/>
        <w:rPr>
          <w:color w:val="000000" w:themeColor="text1"/>
        </w:rPr>
      </w:pPr>
      <w:r w:rsidRPr="0090305A">
        <w:rPr>
          <w:color w:val="000000" w:themeColor="text1"/>
        </w:rPr>
        <w:t>H2b</w:t>
      </w:r>
      <w:r w:rsidR="00557ABD" w:rsidRPr="0090305A">
        <w:rPr>
          <w:color w:val="000000" w:themeColor="text1"/>
        </w:rPr>
        <w:t>. Older individuals will present higher levels of resilience.</w:t>
      </w:r>
    </w:p>
    <w:p w14:paraId="5075C05A" w14:textId="4EF37F33" w:rsidR="00D160F5" w:rsidRPr="0090305A" w:rsidRDefault="00D160F5">
      <w:pPr>
        <w:pStyle w:val="TextoAPA"/>
        <w:ind w:left="720" w:firstLine="0"/>
        <w:rPr>
          <w:color w:val="000000" w:themeColor="text1"/>
        </w:rPr>
      </w:pPr>
      <w:r w:rsidRPr="0090305A">
        <w:rPr>
          <w:color w:val="000000" w:themeColor="text1"/>
        </w:rPr>
        <w:t>H</w:t>
      </w:r>
      <w:r w:rsidR="001D388A" w:rsidRPr="0090305A">
        <w:rPr>
          <w:color w:val="000000" w:themeColor="text1"/>
        </w:rPr>
        <w:t>2</w:t>
      </w:r>
      <w:r w:rsidR="0088377E" w:rsidRPr="0090305A">
        <w:rPr>
          <w:color w:val="000000" w:themeColor="text1"/>
        </w:rPr>
        <w:t>c</w:t>
      </w:r>
      <w:r w:rsidR="000E522C" w:rsidRPr="0090305A">
        <w:rPr>
          <w:color w:val="000000" w:themeColor="text1"/>
        </w:rPr>
        <w:t>.</w:t>
      </w:r>
      <w:r w:rsidR="003C096B" w:rsidRPr="0090305A">
        <w:rPr>
          <w:color w:val="000000" w:themeColor="text1"/>
        </w:rPr>
        <w:t xml:space="preserve"> </w:t>
      </w:r>
      <w:r w:rsidR="004C7506" w:rsidRPr="0090305A">
        <w:rPr>
          <w:color w:val="000000" w:themeColor="text1"/>
        </w:rPr>
        <w:t>Individual</w:t>
      </w:r>
      <w:r w:rsidR="00EE73D5" w:rsidRPr="0090305A">
        <w:rPr>
          <w:color w:val="000000" w:themeColor="text1"/>
        </w:rPr>
        <w:t>s working on leadership</w:t>
      </w:r>
      <w:r w:rsidR="004C7506" w:rsidRPr="0090305A">
        <w:rPr>
          <w:color w:val="000000" w:themeColor="text1"/>
        </w:rPr>
        <w:t xml:space="preserve"> positions present higher levels of resilience.</w:t>
      </w:r>
    </w:p>
    <w:p w14:paraId="6C12BCB1" w14:textId="00015B83" w:rsidR="00312339" w:rsidRPr="0090305A" w:rsidRDefault="00312339">
      <w:pPr>
        <w:pStyle w:val="TextoAPA"/>
        <w:ind w:left="720" w:firstLine="0"/>
        <w:rPr>
          <w:color w:val="000000" w:themeColor="text1"/>
        </w:rPr>
      </w:pPr>
      <w:r w:rsidRPr="0090305A">
        <w:rPr>
          <w:color w:val="000000" w:themeColor="text1"/>
        </w:rPr>
        <w:t>H</w:t>
      </w:r>
      <w:r w:rsidR="001D388A" w:rsidRPr="0090305A">
        <w:rPr>
          <w:color w:val="000000" w:themeColor="text1"/>
        </w:rPr>
        <w:t>2</w:t>
      </w:r>
      <w:r w:rsidR="0088377E" w:rsidRPr="0090305A">
        <w:rPr>
          <w:color w:val="000000" w:themeColor="text1"/>
        </w:rPr>
        <w:t>d</w:t>
      </w:r>
      <w:r w:rsidRPr="0090305A">
        <w:rPr>
          <w:color w:val="000000" w:themeColor="text1"/>
        </w:rPr>
        <w:t>.</w:t>
      </w:r>
      <w:r w:rsidR="003C096B" w:rsidRPr="0090305A">
        <w:rPr>
          <w:color w:val="000000" w:themeColor="text1"/>
        </w:rPr>
        <w:t xml:space="preserve"> </w:t>
      </w:r>
      <w:r w:rsidR="00270D37" w:rsidRPr="0090305A">
        <w:rPr>
          <w:color w:val="000000" w:themeColor="text1"/>
        </w:rPr>
        <w:t xml:space="preserve">The level of </w:t>
      </w:r>
      <w:r w:rsidR="0088377E" w:rsidRPr="0090305A">
        <w:rPr>
          <w:color w:val="000000" w:themeColor="text1"/>
        </w:rPr>
        <w:t>seniority</w:t>
      </w:r>
      <w:r w:rsidR="00270D37" w:rsidRPr="0090305A">
        <w:rPr>
          <w:color w:val="000000" w:themeColor="text1"/>
        </w:rPr>
        <w:t xml:space="preserve"> correlate </w:t>
      </w:r>
      <w:r w:rsidR="0088377E" w:rsidRPr="0090305A">
        <w:rPr>
          <w:color w:val="000000" w:themeColor="text1"/>
        </w:rPr>
        <w:t>positively</w:t>
      </w:r>
      <w:r w:rsidR="00270D37" w:rsidRPr="0090305A">
        <w:rPr>
          <w:color w:val="000000" w:themeColor="text1"/>
        </w:rPr>
        <w:t xml:space="preserve"> with resilience.</w:t>
      </w:r>
    </w:p>
    <w:p w14:paraId="5ECF0B53" w14:textId="2A2720C8" w:rsidR="003C096B" w:rsidRPr="0090305A" w:rsidRDefault="00FA76E2">
      <w:pPr>
        <w:pStyle w:val="TextoAPA"/>
        <w:ind w:left="720" w:firstLine="0"/>
        <w:rPr>
          <w:color w:val="000000" w:themeColor="text1"/>
        </w:rPr>
      </w:pPr>
      <w:r w:rsidRPr="0090305A">
        <w:rPr>
          <w:color w:val="000000" w:themeColor="text1"/>
        </w:rPr>
        <w:t>H</w:t>
      </w:r>
      <w:r w:rsidR="001D388A" w:rsidRPr="0090305A">
        <w:rPr>
          <w:color w:val="000000" w:themeColor="text1"/>
        </w:rPr>
        <w:t>2</w:t>
      </w:r>
      <w:r w:rsidR="0088377E" w:rsidRPr="0090305A">
        <w:rPr>
          <w:color w:val="000000" w:themeColor="text1"/>
        </w:rPr>
        <w:t>e</w:t>
      </w:r>
      <w:r w:rsidR="003C096B" w:rsidRPr="0090305A">
        <w:rPr>
          <w:color w:val="000000" w:themeColor="text1"/>
        </w:rPr>
        <w:t xml:space="preserve">. </w:t>
      </w:r>
      <w:r w:rsidR="0088377E" w:rsidRPr="0090305A">
        <w:rPr>
          <w:color w:val="000000" w:themeColor="text1"/>
        </w:rPr>
        <w:t>Better social media skills correlates positively with resilience</w:t>
      </w:r>
    </w:p>
    <w:p w14:paraId="49397534" w14:textId="147F91C9" w:rsidR="000E522C" w:rsidRPr="0090305A" w:rsidRDefault="00FA76E2">
      <w:pPr>
        <w:pStyle w:val="TextoAPA"/>
        <w:ind w:left="720" w:firstLine="0"/>
        <w:rPr>
          <w:color w:val="000000" w:themeColor="text1"/>
        </w:rPr>
      </w:pPr>
      <w:r w:rsidRPr="0090305A">
        <w:rPr>
          <w:color w:val="000000" w:themeColor="text1"/>
        </w:rPr>
        <w:lastRenderedPageBreak/>
        <w:t>H</w:t>
      </w:r>
      <w:r w:rsidR="001D388A" w:rsidRPr="0090305A">
        <w:rPr>
          <w:color w:val="000000" w:themeColor="text1"/>
        </w:rPr>
        <w:t>2</w:t>
      </w:r>
      <w:r w:rsidR="00BE176C" w:rsidRPr="0090305A">
        <w:rPr>
          <w:color w:val="000000" w:themeColor="text1"/>
        </w:rPr>
        <w:t>f</w:t>
      </w:r>
      <w:r w:rsidRPr="0090305A">
        <w:rPr>
          <w:color w:val="000000" w:themeColor="text1"/>
        </w:rPr>
        <w:t xml:space="preserve">. </w:t>
      </w:r>
      <w:r w:rsidR="00673332" w:rsidRPr="0090305A">
        <w:rPr>
          <w:color w:val="000000" w:themeColor="text1"/>
        </w:rPr>
        <w:t xml:space="preserve">Practitioners working in </w:t>
      </w:r>
      <w:r w:rsidR="00F82D53" w:rsidRPr="0090305A">
        <w:rPr>
          <w:color w:val="000000" w:themeColor="text1"/>
        </w:rPr>
        <w:t>excellent communication departments show higher levels of resilience.</w:t>
      </w:r>
    </w:p>
    <w:p w14:paraId="0611CF96" w14:textId="7CFD0278" w:rsidR="009B7F36" w:rsidRPr="0090305A" w:rsidRDefault="009B7F36">
      <w:pPr>
        <w:pStyle w:val="TextoAPA"/>
        <w:ind w:left="720" w:firstLine="0"/>
        <w:rPr>
          <w:color w:val="000000" w:themeColor="text1"/>
        </w:rPr>
      </w:pPr>
      <w:r w:rsidRPr="0090305A">
        <w:rPr>
          <w:color w:val="000000" w:themeColor="text1"/>
        </w:rPr>
        <w:t>H2g. Public Relations professionals working in the public sector will present lower levels of resilience.</w:t>
      </w:r>
    </w:p>
    <w:p w14:paraId="0F6238AF" w14:textId="77777777" w:rsidR="00701FB0" w:rsidRPr="0090305A" w:rsidRDefault="00537982">
      <w:pPr>
        <w:pStyle w:val="Normal1"/>
        <w:spacing w:after="0" w:line="480" w:lineRule="auto"/>
        <w:contextualSpacing/>
        <w:jc w:val="center"/>
        <w:outlineLvl w:val="0"/>
        <w:rPr>
          <w:rFonts w:ascii="Times New Roman" w:hAnsi="Times New Roman" w:cs="Times New Roman"/>
          <w:b/>
          <w:color w:val="000000" w:themeColor="text1"/>
          <w:sz w:val="24"/>
          <w:szCs w:val="24"/>
        </w:rPr>
      </w:pPr>
      <w:r w:rsidRPr="0090305A">
        <w:rPr>
          <w:rFonts w:ascii="Times New Roman" w:eastAsia="Times New Roman" w:hAnsi="Times New Roman" w:cs="Times New Roman"/>
          <w:b/>
          <w:color w:val="000000" w:themeColor="text1"/>
          <w:sz w:val="24"/>
          <w:szCs w:val="24"/>
        </w:rPr>
        <w:t>Method</w:t>
      </w:r>
    </w:p>
    <w:p w14:paraId="0646D944" w14:textId="7AD86DF7" w:rsidR="00565FC6" w:rsidRPr="0090305A" w:rsidRDefault="00565FC6">
      <w:pPr>
        <w:pStyle w:val="Normal1"/>
        <w:spacing w:after="0" w:line="480" w:lineRule="auto"/>
        <w:ind w:firstLine="720"/>
        <w:contextualSpacing/>
        <w:outlineLvl w:val="0"/>
        <w:rPr>
          <w:rFonts w:ascii="Times New Roman" w:eastAsia="Times New Roman" w:hAnsi="Times New Roman" w:cs="Times New Roman"/>
          <w:b/>
          <w:color w:val="000000" w:themeColor="text1"/>
          <w:sz w:val="24"/>
          <w:szCs w:val="24"/>
        </w:rPr>
      </w:pPr>
      <w:r w:rsidRPr="0090305A">
        <w:rPr>
          <w:rFonts w:ascii="Times New Roman" w:eastAsia="Times New Roman" w:hAnsi="Times New Roman" w:cs="Times New Roman"/>
          <w:b/>
          <w:color w:val="000000" w:themeColor="text1"/>
          <w:sz w:val="24"/>
          <w:szCs w:val="24"/>
        </w:rPr>
        <w:t>Participants</w:t>
      </w:r>
    </w:p>
    <w:p w14:paraId="5BFFA22D" w14:textId="77777777" w:rsidR="00565FC6" w:rsidRPr="0090305A" w:rsidRDefault="00565FC6">
      <w:pPr>
        <w:pStyle w:val="TextoAPA"/>
        <w:rPr>
          <w:color w:val="000000" w:themeColor="text1"/>
        </w:rPr>
      </w:pPr>
      <w:r w:rsidRPr="0090305A">
        <w:rPr>
          <w:color w:val="000000" w:themeColor="text1"/>
        </w:rPr>
        <w:t>A total of 898 public relations professionals participated in the study. Participants were drawn from all levels of seniority: 33.7% reporting a position of communication manager or as CEO of a communication consultancy, 26.3% responsible for a single communication discipline or as unit leaders, and 38.3% listing their role as team members or consultants. Nearly 67% of respondents were female, the mean age of all participants was 39.8 years old (SD = 11.66), and the mean years of working experience was 14.83 (SD = 11.06). Sixty-seven percent of participants work in the communication department of their organizations. In total, 32.6% reported working for an agency, consultant firm, or as a freelance practitioner. Impressively, 97.7% of respondents have an academic degree, and half of which also hold a graduate degree (6.3% holds a doctorate).</w:t>
      </w:r>
    </w:p>
    <w:p w14:paraId="462549FF" w14:textId="02C239AB" w:rsidR="00ED17D5" w:rsidRPr="0090305A" w:rsidRDefault="00ED17D5">
      <w:pPr>
        <w:pStyle w:val="Normal1"/>
        <w:spacing w:after="0" w:line="480" w:lineRule="auto"/>
        <w:ind w:firstLine="720"/>
        <w:contextualSpacing/>
        <w:outlineLvl w:val="0"/>
        <w:rPr>
          <w:rFonts w:ascii="Times New Roman" w:eastAsia="Times New Roman" w:hAnsi="Times New Roman" w:cs="Times New Roman"/>
          <w:b/>
          <w:color w:val="000000" w:themeColor="text1"/>
          <w:sz w:val="24"/>
          <w:szCs w:val="24"/>
        </w:rPr>
      </w:pPr>
      <w:r w:rsidRPr="0090305A">
        <w:rPr>
          <w:rFonts w:ascii="Times New Roman" w:eastAsia="Times New Roman" w:hAnsi="Times New Roman" w:cs="Times New Roman"/>
          <w:b/>
          <w:color w:val="000000" w:themeColor="text1"/>
          <w:sz w:val="24"/>
          <w:szCs w:val="24"/>
        </w:rPr>
        <w:t xml:space="preserve">Survey </w:t>
      </w:r>
      <w:r w:rsidR="001E1180" w:rsidRPr="0090305A">
        <w:rPr>
          <w:rFonts w:ascii="Times New Roman" w:eastAsia="Times New Roman" w:hAnsi="Times New Roman" w:cs="Times New Roman"/>
          <w:b/>
          <w:color w:val="000000" w:themeColor="text1"/>
          <w:sz w:val="24"/>
          <w:szCs w:val="24"/>
        </w:rPr>
        <w:t>and data collection</w:t>
      </w:r>
    </w:p>
    <w:p w14:paraId="79216FA9" w14:textId="18D51236" w:rsidR="00701FB0" w:rsidRPr="0090305A" w:rsidRDefault="00A94134" w:rsidP="0090305A">
      <w:pPr>
        <w:pStyle w:val="paper"/>
        <w:spacing w:afterLines="0" w:after="0"/>
        <w:rPr>
          <w:color w:val="000000" w:themeColor="text1"/>
          <w:lang w:val="en-GB"/>
        </w:rPr>
      </w:pPr>
      <w:r w:rsidRPr="0090305A">
        <w:rPr>
          <w:color w:val="000000" w:themeColor="text1"/>
        </w:rPr>
        <w:t xml:space="preserve">The research is based on a quantitative survey among communication professionals working companies, governmental organizations, and nongovernmental organizations (NGOs) in Latin America. </w:t>
      </w:r>
      <w:r w:rsidR="00D37581" w:rsidRPr="0090305A">
        <w:rPr>
          <w:color w:val="000000" w:themeColor="text1"/>
        </w:rPr>
        <w:t xml:space="preserve">The data used for the study was gathered using an online survey designed in Qualtrics. The questionnaire was active from </w:t>
      </w:r>
      <w:r w:rsidR="00DD6533" w:rsidRPr="0090305A">
        <w:rPr>
          <w:color w:val="000000" w:themeColor="text1"/>
        </w:rPr>
        <w:t>May</w:t>
      </w:r>
      <w:r w:rsidR="00D37581" w:rsidRPr="0090305A">
        <w:rPr>
          <w:color w:val="000000" w:themeColor="text1"/>
        </w:rPr>
        <w:t xml:space="preserve"> to </w:t>
      </w:r>
      <w:r w:rsidR="007329EE" w:rsidRPr="007329EE">
        <w:rPr>
          <w:color w:val="000000" w:themeColor="text1"/>
        </w:rPr>
        <w:t>August of 2016 and</w:t>
      </w:r>
      <w:r w:rsidR="00D37581" w:rsidRPr="0090305A">
        <w:rPr>
          <w:color w:val="000000" w:themeColor="text1"/>
        </w:rPr>
        <w:t xml:space="preserve"> was available in both Spanish and Portuguese. </w:t>
      </w:r>
      <w:r w:rsidR="00AE213C" w:rsidRPr="00E5049C">
        <w:rPr>
          <w:color w:val="000000" w:themeColor="text1"/>
          <w:lang w:val="en-GB"/>
        </w:rPr>
        <w:t xml:space="preserve">It was pre-tested with 39 communication professionals in eight Latin </w:t>
      </w:r>
      <w:r w:rsidR="00AE213C" w:rsidRPr="00E5049C">
        <w:rPr>
          <w:color w:val="000000" w:themeColor="text1"/>
          <w:lang w:val="en-GB"/>
        </w:rPr>
        <w:lastRenderedPageBreak/>
        <w:t xml:space="preserve">American countries. More than 20,000 personal invitations were sent to communication professionals working in 19 Latin American countries via email, with three reminders. Assistance in the data collection came from a developed network of colleagues and a database of international communication professionals from trade associations. </w:t>
      </w:r>
      <w:r w:rsidR="00243542" w:rsidRPr="00E5049C">
        <w:rPr>
          <w:color w:val="000000" w:themeColor="text1"/>
          <w:lang w:val="en-GB"/>
        </w:rPr>
        <w:t xml:space="preserve">In total, 2,295 professionals started the survey and 946 of them completed. The data analysis and results excluded those participants who could not clearly be identified as part of the study population. </w:t>
      </w:r>
      <w:r w:rsidR="00D37581" w:rsidRPr="0090305A">
        <w:rPr>
          <w:color w:val="000000" w:themeColor="text1"/>
        </w:rPr>
        <w:t xml:space="preserve">Responses from participants that could not be clearly identified as part of the population were deleted from the data set. This strict selection of respondents set this study apart from other works that were based on snowball sampling or included students, academics, and people outside of the focused profession or region. The final evaluation is then based on the completed responses of </w:t>
      </w:r>
      <w:r w:rsidR="0012476B" w:rsidRPr="0090305A">
        <w:rPr>
          <w:color w:val="000000" w:themeColor="text1"/>
        </w:rPr>
        <w:t>8</w:t>
      </w:r>
      <w:r w:rsidR="00024890" w:rsidRPr="0090305A">
        <w:rPr>
          <w:color w:val="000000" w:themeColor="text1"/>
        </w:rPr>
        <w:t>98</w:t>
      </w:r>
      <w:r w:rsidR="00D37581" w:rsidRPr="0090305A">
        <w:rPr>
          <w:color w:val="000000" w:themeColor="text1"/>
        </w:rPr>
        <w:t xml:space="preserve"> public relations professionals.</w:t>
      </w:r>
    </w:p>
    <w:p w14:paraId="5EA88290" w14:textId="1731233A" w:rsidR="00F047C7" w:rsidRPr="0090305A" w:rsidRDefault="00D37581">
      <w:pPr>
        <w:pStyle w:val="TextoAPA"/>
        <w:rPr>
          <w:color w:val="000000" w:themeColor="text1"/>
        </w:rPr>
      </w:pPr>
      <w:r w:rsidRPr="0090305A">
        <w:rPr>
          <w:color w:val="000000" w:themeColor="text1"/>
        </w:rPr>
        <w:t>Of the 19 countries invited to participa</w:t>
      </w:r>
      <w:r w:rsidR="002B30C5" w:rsidRPr="0090305A">
        <w:rPr>
          <w:color w:val="000000" w:themeColor="text1"/>
        </w:rPr>
        <w:t xml:space="preserve">te in the study, professionals from 17 countries responded the questionnaire, and nine of them </w:t>
      </w:r>
      <w:r w:rsidRPr="0090305A">
        <w:rPr>
          <w:color w:val="000000" w:themeColor="text1"/>
        </w:rPr>
        <w:t>met the minimum number of observations required by the researchers: Argentina (N = 11</w:t>
      </w:r>
      <w:r w:rsidR="00680851" w:rsidRPr="0090305A">
        <w:rPr>
          <w:color w:val="000000" w:themeColor="text1"/>
        </w:rPr>
        <w:t>0</w:t>
      </w:r>
      <w:r w:rsidRPr="0090305A">
        <w:rPr>
          <w:color w:val="000000" w:themeColor="text1"/>
        </w:rPr>
        <w:t xml:space="preserve">), Brazil (N = </w:t>
      </w:r>
      <w:r w:rsidR="002B30C5" w:rsidRPr="0090305A">
        <w:rPr>
          <w:color w:val="000000" w:themeColor="text1"/>
        </w:rPr>
        <w:t>174</w:t>
      </w:r>
      <w:r w:rsidRPr="0090305A">
        <w:rPr>
          <w:color w:val="000000" w:themeColor="text1"/>
        </w:rPr>
        <w:t xml:space="preserve">), Chile (N = </w:t>
      </w:r>
      <w:r w:rsidR="002B30C5" w:rsidRPr="0090305A">
        <w:rPr>
          <w:color w:val="000000" w:themeColor="text1"/>
        </w:rPr>
        <w:t>95</w:t>
      </w:r>
      <w:r w:rsidRPr="0090305A">
        <w:rPr>
          <w:color w:val="000000" w:themeColor="text1"/>
        </w:rPr>
        <w:t>), Colombia (N = 1</w:t>
      </w:r>
      <w:r w:rsidR="002B30C5" w:rsidRPr="0090305A">
        <w:rPr>
          <w:color w:val="000000" w:themeColor="text1"/>
        </w:rPr>
        <w:t>42</w:t>
      </w:r>
      <w:r w:rsidRPr="0090305A">
        <w:rPr>
          <w:color w:val="000000" w:themeColor="text1"/>
        </w:rPr>
        <w:t xml:space="preserve">), Costa Rica (N = </w:t>
      </w:r>
      <w:r w:rsidR="002B30C5" w:rsidRPr="0090305A">
        <w:rPr>
          <w:color w:val="000000" w:themeColor="text1"/>
        </w:rPr>
        <w:t>50</w:t>
      </w:r>
      <w:r w:rsidRPr="0090305A">
        <w:rPr>
          <w:color w:val="000000" w:themeColor="text1"/>
        </w:rPr>
        <w:t xml:space="preserve">), Mexico (N = </w:t>
      </w:r>
      <w:r w:rsidR="002B30C5" w:rsidRPr="0090305A">
        <w:rPr>
          <w:color w:val="000000" w:themeColor="text1"/>
        </w:rPr>
        <w:t>96</w:t>
      </w:r>
      <w:r w:rsidRPr="0090305A">
        <w:rPr>
          <w:color w:val="000000" w:themeColor="text1"/>
        </w:rPr>
        <w:t xml:space="preserve">), Peru (N = </w:t>
      </w:r>
      <w:r w:rsidR="002B30C5" w:rsidRPr="0090305A">
        <w:rPr>
          <w:color w:val="000000" w:themeColor="text1"/>
        </w:rPr>
        <w:t>64</w:t>
      </w:r>
      <w:r w:rsidRPr="0090305A">
        <w:rPr>
          <w:color w:val="000000" w:themeColor="text1"/>
        </w:rPr>
        <w:t xml:space="preserve">), Dominican Republic (N = </w:t>
      </w:r>
      <w:r w:rsidR="002B30C5" w:rsidRPr="0090305A">
        <w:rPr>
          <w:color w:val="000000" w:themeColor="text1"/>
        </w:rPr>
        <w:t>63</w:t>
      </w:r>
      <w:r w:rsidRPr="0090305A">
        <w:rPr>
          <w:color w:val="000000" w:themeColor="text1"/>
        </w:rPr>
        <w:t xml:space="preserve">), and Venezuela (N = </w:t>
      </w:r>
      <w:r w:rsidR="002B30C5" w:rsidRPr="0090305A">
        <w:rPr>
          <w:color w:val="000000" w:themeColor="text1"/>
        </w:rPr>
        <w:t>53</w:t>
      </w:r>
      <w:r w:rsidRPr="0090305A">
        <w:rPr>
          <w:color w:val="000000" w:themeColor="text1"/>
        </w:rPr>
        <w:t>).</w:t>
      </w:r>
    </w:p>
    <w:p w14:paraId="5A366841" w14:textId="77777777" w:rsidR="00851A6B" w:rsidRPr="0090305A" w:rsidRDefault="00851A6B">
      <w:pPr>
        <w:pStyle w:val="Normal1"/>
        <w:spacing w:after="0" w:line="480" w:lineRule="auto"/>
        <w:ind w:firstLine="720"/>
        <w:contextualSpacing/>
        <w:outlineLvl w:val="0"/>
        <w:rPr>
          <w:rFonts w:ascii="Times New Roman" w:eastAsia="Times New Roman" w:hAnsi="Times New Roman" w:cs="Times New Roman"/>
          <w:b/>
          <w:color w:val="000000" w:themeColor="text1"/>
          <w:sz w:val="24"/>
          <w:szCs w:val="24"/>
        </w:rPr>
      </w:pPr>
      <w:r w:rsidRPr="0090305A">
        <w:rPr>
          <w:rFonts w:ascii="Times New Roman" w:eastAsia="Times New Roman" w:hAnsi="Times New Roman" w:cs="Times New Roman"/>
          <w:b/>
          <w:color w:val="000000" w:themeColor="text1"/>
          <w:sz w:val="24"/>
          <w:szCs w:val="24"/>
        </w:rPr>
        <w:t>Instrumentation</w:t>
      </w:r>
    </w:p>
    <w:p w14:paraId="2FFC8E73" w14:textId="267CA3C9" w:rsidR="00342070" w:rsidRPr="0090305A" w:rsidRDefault="008B39FB">
      <w:pPr>
        <w:pStyle w:val="TextoAPA"/>
        <w:rPr>
          <w:color w:val="000000" w:themeColor="text1"/>
        </w:rPr>
      </w:pPr>
      <w:r w:rsidRPr="0090305A">
        <w:rPr>
          <w:b/>
          <w:color w:val="000000" w:themeColor="text1"/>
        </w:rPr>
        <w:t>Resilience</w:t>
      </w:r>
      <w:r w:rsidRPr="0090305A">
        <w:rPr>
          <w:color w:val="000000" w:themeColor="text1"/>
        </w:rPr>
        <w:t xml:space="preserve">. </w:t>
      </w:r>
      <w:r w:rsidR="00851A6B" w:rsidRPr="0090305A">
        <w:rPr>
          <w:color w:val="000000" w:themeColor="text1"/>
        </w:rPr>
        <w:t xml:space="preserve">This study </w:t>
      </w:r>
      <w:r w:rsidR="000579E1" w:rsidRPr="0090305A">
        <w:rPr>
          <w:color w:val="000000" w:themeColor="text1"/>
        </w:rPr>
        <w:t>use</w:t>
      </w:r>
      <w:r w:rsidR="00836262" w:rsidRPr="0090305A">
        <w:rPr>
          <w:color w:val="000000" w:themeColor="text1"/>
        </w:rPr>
        <w:t>s</w:t>
      </w:r>
      <w:r w:rsidR="000579E1" w:rsidRPr="0090305A">
        <w:rPr>
          <w:color w:val="000000" w:themeColor="text1"/>
        </w:rPr>
        <w:t xml:space="preserve"> t</w:t>
      </w:r>
      <w:r w:rsidR="00342070" w:rsidRPr="0090305A">
        <w:rPr>
          <w:color w:val="000000" w:themeColor="text1"/>
        </w:rPr>
        <w:t xml:space="preserve">he </w:t>
      </w:r>
      <w:r w:rsidRPr="0090305A">
        <w:rPr>
          <w:color w:val="000000" w:themeColor="text1"/>
        </w:rPr>
        <w:t>scale</w:t>
      </w:r>
      <w:r w:rsidR="00851A6B" w:rsidRPr="0090305A">
        <w:rPr>
          <w:color w:val="000000" w:themeColor="text1"/>
        </w:rPr>
        <w:t xml:space="preserve"> developed </w:t>
      </w:r>
      <w:r w:rsidR="00342070" w:rsidRPr="0090305A">
        <w:rPr>
          <w:color w:val="000000" w:themeColor="text1"/>
        </w:rPr>
        <w:t>by</w:t>
      </w:r>
      <w:r w:rsidR="00851A6B" w:rsidRPr="0090305A">
        <w:rPr>
          <w:color w:val="000000" w:themeColor="text1"/>
        </w:rPr>
        <w:t xml:space="preserve"> </w:t>
      </w:r>
      <w:r w:rsidR="0087225E" w:rsidRPr="0090305A">
        <w:rPr>
          <w:color w:val="000000" w:themeColor="text1"/>
        </w:rPr>
        <w:t xml:space="preserve">Connor and Davidson </w:t>
      </w:r>
      <w:r w:rsidR="00EF66BB" w:rsidRPr="0090305A">
        <w:rPr>
          <w:color w:val="000000" w:themeColor="text1"/>
        </w:rPr>
        <w:t>in 2003</w:t>
      </w:r>
      <w:r w:rsidR="00606D95" w:rsidRPr="0090305A">
        <w:rPr>
          <w:color w:val="000000" w:themeColor="text1"/>
        </w:rPr>
        <w:t xml:space="preserve"> </w:t>
      </w:r>
      <w:r w:rsidR="0073144A" w:rsidRPr="0090305A">
        <w:rPr>
          <w:color w:val="000000" w:themeColor="text1"/>
        </w:rPr>
        <w:t>as a single valid measure of resilience in adulthood</w:t>
      </w:r>
      <w:r w:rsidR="00851A6B" w:rsidRPr="0090305A">
        <w:rPr>
          <w:color w:val="000000" w:themeColor="text1"/>
        </w:rPr>
        <w:t>.</w:t>
      </w:r>
      <w:r w:rsidR="00EF66BB" w:rsidRPr="0090305A">
        <w:rPr>
          <w:color w:val="000000" w:themeColor="text1"/>
        </w:rPr>
        <w:t xml:space="preserve"> The scale </w:t>
      </w:r>
      <w:r w:rsidR="00384507" w:rsidRPr="0090305A">
        <w:rPr>
          <w:color w:val="000000" w:themeColor="text1"/>
        </w:rPr>
        <w:t xml:space="preserve">contains 25 items, all of which </w:t>
      </w:r>
      <w:r w:rsidR="00197E3C" w:rsidRPr="0090305A">
        <w:rPr>
          <w:color w:val="000000" w:themeColor="text1"/>
        </w:rPr>
        <w:t>carry a</w:t>
      </w:r>
      <w:r w:rsidR="00384507" w:rsidRPr="0090305A">
        <w:rPr>
          <w:color w:val="000000" w:themeColor="text1"/>
        </w:rPr>
        <w:t xml:space="preserve"> 5-point range of responses, as follows: not true at all (</w:t>
      </w:r>
      <w:r w:rsidR="000A74FB" w:rsidRPr="0090305A">
        <w:rPr>
          <w:color w:val="000000" w:themeColor="text1"/>
        </w:rPr>
        <w:t>0</w:t>
      </w:r>
      <w:r w:rsidR="00384507" w:rsidRPr="0090305A">
        <w:rPr>
          <w:color w:val="000000" w:themeColor="text1"/>
        </w:rPr>
        <w:t>), rarely true (</w:t>
      </w:r>
      <w:r w:rsidR="000A74FB" w:rsidRPr="0090305A">
        <w:rPr>
          <w:color w:val="000000" w:themeColor="text1"/>
        </w:rPr>
        <w:t>1</w:t>
      </w:r>
      <w:r w:rsidR="00384507" w:rsidRPr="0090305A">
        <w:rPr>
          <w:color w:val="000000" w:themeColor="text1"/>
        </w:rPr>
        <w:t>), sometimes true (</w:t>
      </w:r>
      <w:r w:rsidR="000A74FB" w:rsidRPr="0090305A">
        <w:rPr>
          <w:color w:val="000000" w:themeColor="text1"/>
        </w:rPr>
        <w:t>2</w:t>
      </w:r>
      <w:r w:rsidR="00384507" w:rsidRPr="0090305A">
        <w:rPr>
          <w:color w:val="000000" w:themeColor="text1"/>
        </w:rPr>
        <w:t>), often true (</w:t>
      </w:r>
      <w:r w:rsidR="000A74FB" w:rsidRPr="0090305A">
        <w:rPr>
          <w:color w:val="000000" w:themeColor="text1"/>
        </w:rPr>
        <w:t>3</w:t>
      </w:r>
      <w:r w:rsidR="00384507" w:rsidRPr="0090305A">
        <w:rPr>
          <w:color w:val="000000" w:themeColor="text1"/>
        </w:rPr>
        <w:t>), and true nearly all of the time (</w:t>
      </w:r>
      <w:r w:rsidR="000A74FB" w:rsidRPr="0090305A">
        <w:rPr>
          <w:color w:val="000000" w:themeColor="text1"/>
        </w:rPr>
        <w:t>4</w:t>
      </w:r>
      <w:r w:rsidR="00384507" w:rsidRPr="0090305A">
        <w:rPr>
          <w:color w:val="000000" w:themeColor="text1"/>
        </w:rPr>
        <w:t>)</w:t>
      </w:r>
      <w:r w:rsidR="003D43DA" w:rsidRPr="0090305A">
        <w:rPr>
          <w:color w:val="000000" w:themeColor="text1"/>
        </w:rPr>
        <w:t>, with higher ratings indicating greater resilience</w:t>
      </w:r>
      <w:r w:rsidR="00EF66BB" w:rsidRPr="0090305A">
        <w:rPr>
          <w:color w:val="000000" w:themeColor="text1"/>
        </w:rPr>
        <w:t>.</w:t>
      </w:r>
      <w:r w:rsidR="00851A6B" w:rsidRPr="0090305A">
        <w:rPr>
          <w:color w:val="000000" w:themeColor="text1"/>
        </w:rPr>
        <w:t xml:space="preserve"> </w:t>
      </w:r>
      <w:r w:rsidR="00840597" w:rsidRPr="0090305A">
        <w:rPr>
          <w:color w:val="000000" w:themeColor="text1"/>
        </w:rPr>
        <w:t xml:space="preserve">The CD-RISC is a multidimensional </w:t>
      </w:r>
      <w:r w:rsidR="00B25AA5" w:rsidRPr="0090305A">
        <w:rPr>
          <w:color w:val="000000" w:themeColor="text1"/>
        </w:rPr>
        <w:t xml:space="preserve">intended to assess “the personal qualities that enable an </w:t>
      </w:r>
      <w:r w:rsidR="00B25AA5" w:rsidRPr="0090305A">
        <w:rPr>
          <w:color w:val="000000" w:themeColor="text1"/>
        </w:rPr>
        <w:lastRenderedPageBreak/>
        <w:t xml:space="preserve">individual to thrive in the face of adversity” </w:t>
      </w:r>
      <w:r w:rsidR="001576F2" w:rsidRPr="0090305A">
        <w:rPr>
          <w:color w:val="000000" w:themeColor="text1"/>
        </w:rPr>
        <w:t>(</w:t>
      </w:r>
      <w:r w:rsidR="00257D9B" w:rsidRPr="0090305A">
        <w:rPr>
          <w:color w:val="000000" w:themeColor="text1"/>
        </w:rPr>
        <w:t xml:space="preserve">Connor &amp; Davisson, 2003: </w:t>
      </w:r>
      <w:r w:rsidR="00B25AA5" w:rsidRPr="0090305A">
        <w:rPr>
          <w:color w:val="000000" w:themeColor="text1"/>
        </w:rPr>
        <w:t>76), and focuses on the internal resources necessary to adapt positively, such as a strong sense of purpose,</w:t>
      </w:r>
      <w:r w:rsidR="006244A3" w:rsidRPr="0090305A">
        <w:rPr>
          <w:color w:val="000000" w:themeColor="text1"/>
        </w:rPr>
        <w:t xml:space="preserve"> trust in one’s instincts, spiritual faith,</w:t>
      </w:r>
      <w:r w:rsidR="00B25AA5" w:rsidRPr="0090305A">
        <w:rPr>
          <w:color w:val="000000" w:themeColor="text1"/>
        </w:rPr>
        <w:t xml:space="preserve"> the ability to cope with negative emotions, a sense of humor, and </w:t>
      </w:r>
      <w:r w:rsidR="006244A3" w:rsidRPr="0090305A">
        <w:rPr>
          <w:color w:val="000000" w:themeColor="text1"/>
        </w:rPr>
        <w:t xml:space="preserve">an action-oriented approach to problem solving </w:t>
      </w:r>
      <w:r w:rsidR="00B25AA5" w:rsidRPr="0090305A">
        <w:rPr>
          <w:color w:val="000000" w:themeColor="text1"/>
        </w:rPr>
        <w:t>(Goldstein, Faulkner, &amp; Werkele, 2013</w:t>
      </w:r>
      <w:r w:rsidR="006244A3" w:rsidRPr="0090305A">
        <w:rPr>
          <w:color w:val="000000" w:themeColor="text1"/>
        </w:rPr>
        <w:t>; Singh &amp; Yu, 2010</w:t>
      </w:r>
      <w:r w:rsidR="00B25AA5" w:rsidRPr="0090305A">
        <w:rPr>
          <w:color w:val="000000" w:themeColor="text1"/>
        </w:rPr>
        <w:t>).</w:t>
      </w:r>
      <w:r w:rsidR="00E12758" w:rsidRPr="0090305A">
        <w:rPr>
          <w:color w:val="000000" w:themeColor="text1"/>
        </w:rPr>
        <w:t xml:space="preserve"> </w:t>
      </w:r>
    </w:p>
    <w:p w14:paraId="607FCA49" w14:textId="35983DE1" w:rsidR="00522E78" w:rsidRPr="0090305A" w:rsidRDefault="006D156D">
      <w:pPr>
        <w:pStyle w:val="TextoAPA"/>
        <w:rPr>
          <w:color w:val="000000" w:themeColor="text1"/>
        </w:rPr>
      </w:pPr>
      <w:r w:rsidRPr="0090305A">
        <w:rPr>
          <w:color w:val="000000" w:themeColor="text1"/>
        </w:rPr>
        <w:t xml:space="preserve">The CD-RISC has been </w:t>
      </w:r>
      <w:r w:rsidR="00B25AA5" w:rsidRPr="0090305A">
        <w:rPr>
          <w:color w:val="000000" w:themeColor="text1"/>
        </w:rPr>
        <w:t>used to measure resilience in multiple populations, including</w:t>
      </w:r>
      <w:r w:rsidR="00E96CE7" w:rsidRPr="0090305A">
        <w:rPr>
          <w:color w:val="000000" w:themeColor="text1"/>
        </w:rPr>
        <w:t xml:space="preserve"> </w:t>
      </w:r>
      <w:r w:rsidRPr="0090305A">
        <w:rPr>
          <w:color w:val="000000" w:themeColor="text1"/>
        </w:rPr>
        <w:t xml:space="preserve">graduate students (Singh &amp; Yu, 2010), young </w:t>
      </w:r>
      <w:r w:rsidR="005B66ED" w:rsidRPr="0090305A">
        <w:rPr>
          <w:color w:val="000000" w:themeColor="text1"/>
        </w:rPr>
        <w:t>adults (Burns &amp; Anstey, 2010),</w:t>
      </w:r>
      <w:r w:rsidR="00E96CE7" w:rsidRPr="0090305A">
        <w:rPr>
          <w:color w:val="000000" w:themeColor="text1"/>
        </w:rPr>
        <w:t xml:space="preserve"> older adults (MacLeod, Musich, Hawkins, Alsgaard, &amp; Wicker, 2016),</w:t>
      </w:r>
      <w:r w:rsidR="005B66ED" w:rsidRPr="0090305A">
        <w:rPr>
          <w:color w:val="000000" w:themeColor="text1"/>
        </w:rPr>
        <w:t xml:space="preserve"> </w:t>
      </w:r>
      <w:r w:rsidR="00764949" w:rsidRPr="0090305A">
        <w:rPr>
          <w:color w:val="000000" w:themeColor="text1"/>
        </w:rPr>
        <w:t>athletes</w:t>
      </w:r>
      <w:r w:rsidR="002D4043" w:rsidRPr="0090305A">
        <w:rPr>
          <w:color w:val="000000" w:themeColor="text1"/>
        </w:rPr>
        <w:t xml:space="preserve"> (</w:t>
      </w:r>
      <w:r w:rsidR="00764949" w:rsidRPr="0090305A">
        <w:rPr>
          <w:color w:val="000000" w:themeColor="text1"/>
        </w:rPr>
        <w:t>Gucciardi, Jackso, Coulter, &amp; Mallett</w:t>
      </w:r>
      <w:r w:rsidR="00AF082A" w:rsidRPr="0090305A">
        <w:rPr>
          <w:color w:val="000000" w:themeColor="text1"/>
        </w:rPr>
        <w:t>, 2013</w:t>
      </w:r>
      <w:r w:rsidR="002D4043" w:rsidRPr="0090305A">
        <w:rPr>
          <w:color w:val="000000" w:themeColor="text1"/>
        </w:rPr>
        <w:t xml:space="preserve">), </w:t>
      </w:r>
      <w:r w:rsidR="00E96CE7" w:rsidRPr="0090305A">
        <w:rPr>
          <w:color w:val="000000" w:themeColor="text1"/>
        </w:rPr>
        <w:t xml:space="preserve">entrepreneurs (Manzano-García &amp; Calvo, 2013), </w:t>
      </w:r>
      <w:r w:rsidR="002D4043" w:rsidRPr="0090305A">
        <w:rPr>
          <w:color w:val="000000" w:themeColor="text1"/>
        </w:rPr>
        <w:t>firefighters (</w:t>
      </w:r>
      <w:r w:rsidR="00A268B4" w:rsidRPr="0090305A">
        <w:rPr>
          <w:color w:val="000000" w:themeColor="text1"/>
        </w:rPr>
        <w:t>Lee, Ahn, Jeong, Chae, &amp; Choi, 2014</w:t>
      </w:r>
      <w:r w:rsidR="002D4043" w:rsidRPr="0090305A">
        <w:rPr>
          <w:color w:val="000000" w:themeColor="text1"/>
        </w:rPr>
        <w:t>),</w:t>
      </w:r>
      <w:r w:rsidRPr="0090305A">
        <w:rPr>
          <w:color w:val="000000" w:themeColor="text1"/>
        </w:rPr>
        <w:t xml:space="preserve"> </w:t>
      </w:r>
      <w:r w:rsidR="00764949" w:rsidRPr="0090305A">
        <w:rPr>
          <w:color w:val="000000" w:themeColor="text1"/>
        </w:rPr>
        <w:t>physicians</w:t>
      </w:r>
      <w:r w:rsidRPr="0090305A">
        <w:rPr>
          <w:color w:val="000000" w:themeColor="text1"/>
        </w:rPr>
        <w:t xml:space="preserve"> (</w:t>
      </w:r>
      <w:r w:rsidR="00764949" w:rsidRPr="0090305A">
        <w:rPr>
          <w:color w:val="000000" w:themeColor="text1"/>
        </w:rPr>
        <w:t>Sood, Prasad, Schroeder, &amp; Varkey, 2011</w:t>
      </w:r>
      <w:r w:rsidRPr="0090305A">
        <w:rPr>
          <w:color w:val="000000" w:themeColor="text1"/>
        </w:rPr>
        <w:t xml:space="preserve">), nurses (Gillespie, Chaboyer, &amp; Walli, 2007), etc. Nevertheless, we are unaware of any study that has used </w:t>
      </w:r>
      <w:r w:rsidR="00CE4138" w:rsidRPr="0090305A">
        <w:rPr>
          <w:color w:val="000000" w:themeColor="text1"/>
        </w:rPr>
        <w:t xml:space="preserve">this instrument </w:t>
      </w:r>
      <w:r w:rsidRPr="0090305A">
        <w:rPr>
          <w:color w:val="000000" w:themeColor="text1"/>
        </w:rPr>
        <w:t xml:space="preserve">with a sample </w:t>
      </w:r>
      <w:r w:rsidR="00CE4138" w:rsidRPr="0090305A">
        <w:rPr>
          <w:color w:val="000000" w:themeColor="text1"/>
        </w:rPr>
        <w:t xml:space="preserve">of </w:t>
      </w:r>
      <w:r w:rsidR="0073144A" w:rsidRPr="0090305A">
        <w:rPr>
          <w:color w:val="000000" w:themeColor="text1"/>
        </w:rPr>
        <w:t xml:space="preserve">public relations </w:t>
      </w:r>
      <w:r w:rsidR="003D43DA" w:rsidRPr="0090305A">
        <w:rPr>
          <w:color w:val="000000" w:themeColor="text1"/>
        </w:rPr>
        <w:t>practitioners</w:t>
      </w:r>
      <w:r w:rsidRPr="0090305A">
        <w:rPr>
          <w:color w:val="000000" w:themeColor="text1"/>
        </w:rPr>
        <w:t xml:space="preserve">. </w:t>
      </w:r>
    </w:p>
    <w:p w14:paraId="0E0AA76B" w14:textId="76FDA1E7" w:rsidR="006D156D" w:rsidRPr="0090305A" w:rsidRDefault="00520AAD">
      <w:pPr>
        <w:pStyle w:val="TextoAPA"/>
        <w:rPr>
          <w:color w:val="000000" w:themeColor="text1"/>
        </w:rPr>
      </w:pPr>
      <w:r w:rsidRPr="0090305A">
        <w:rPr>
          <w:color w:val="000000" w:themeColor="text1"/>
        </w:rPr>
        <w:t>Utilized</w:t>
      </w:r>
      <w:r w:rsidR="00250C87" w:rsidRPr="0090305A">
        <w:rPr>
          <w:color w:val="000000" w:themeColor="text1"/>
        </w:rPr>
        <w:t xml:space="preserve"> in different samples</w:t>
      </w:r>
      <w:r w:rsidR="004351D5" w:rsidRPr="0090305A">
        <w:rPr>
          <w:color w:val="000000" w:themeColor="text1"/>
        </w:rPr>
        <w:t xml:space="preserve"> and age groups (Burns &amp; Anstey, 2010; Liu, Fairweather-Schmidt, Burns, &amp; Roberts, 2014; Roy, Sarchiapone, &amp; Carli, 2007), the CD-RISC has good psychometric properties (Connor &amp; Davidson, 2003), with convergent and discriminant validity supported (Campbe</w:t>
      </w:r>
      <w:r w:rsidRPr="0090305A">
        <w:rPr>
          <w:color w:val="000000" w:themeColor="text1"/>
        </w:rPr>
        <w:t>ll-Sills, Cohan, &amp; Stein, 2006</w:t>
      </w:r>
      <w:r w:rsidR="00D32A97" w:rsidRPr="0090305A">
        <w:rPr>
          <w:color w:val="000000" w:themeColor="text1"/>
        </w:rPr>
        <w:t>; Windle, Bennett, &amp; Noyes, 2011</w:t>
      </w:r>
      <w:r w:rsidRPr="0090305A">
        <w:rPr>
          <w:color w:val="000000" w:themeColor="text1"/>
        </w:rPr>
        <w:t>)</w:t>
      </w:r>
      <w:r w:rsidR="004351D5" w:rsidRPr="0090305A">
        <w:rPr>
          <w:color w:val="000000" w:themeColor="text1"/>
        </w:rPr>
        <w:t>.</w:t>
      </w:r>
      <w:r w:rsidR="006D156D" w:rsidRPr="0090305A">
        <w:rPr>
          <w:color w:val="000000" w:themeColor="text1"/>
        </w:rPr>
        <w:t xml:space="preserve"> However, diverse studies have revealed a range of different factor structures</w:t>
      </w:r>
      <w:r w:rsidR="00F82241" w:rsidRPr="0090305A">
        <w:rPr>
          <w:color w:val="000000" w:themeColor="text1"/>
        </w:rPr>
        <w:t>.</w:t>
      </w:r>
      <w:r w:rsidR="00126506" w:rsidRPr="0090305A">
        <w:rPr>
          <w:color w:val="000000" w:themeColor="text1"/>
        </w:rPr>
        <w:t xml:space="preserve"> </w:t>
      </w:r>
      <w:r w:rsidR="00F82241" w:rsidRPr="0090305A">
        <w:rPr>
          <w:color w:val="000000" w:themeColor="text1"/>
        </w:rPr>
        <w:t>Numerous alternative versions of the CD-RISC, using fewer items, have been proposed in the literature. These include a three-factor solution among South African adolescents (Jorgensen &amp; Sabaat, 2008), a two-factor solution among U.S. veterans (Green et al</w:t>
      </w:r>
      <w:r w:rsidR="00867248" w:rsidRPr="0090305A">
        <w:rPr>
          <w:color w:val="000000" w:themeColor="text1"/>
        </w:rPr>
        <w:t>.,</w:t>
      </w:r>
      <w:r w:rsidR="00F82241" w:rsidRPr="0090305A">
        <w:rPr>
          <w:color w:val="000000" w:themeColor="text1"/>
        </w:rPr>
        <w:t xml:space="preserve"> 2014), a four-factor solution among adult women over age 60 (Lamond et al, 2008), a three-factor Chinese version (Yu </w:t>
      </w:r>
      <w:r w:rsidR="00867248" w:rsidRPr="0090305A">
        <w:rPr>
          <w:color w:val="000000" w:themeColor="text1"/>
        </w:rPr>
        <w:t>&amp; Zhang</w:t>
      </w:r>
      <w:r w:rsidR="00F82241" w:rsidRPr="0090305A">
        <w:rPr>
          <w:color w:val="000000" w:themeColor="text1"/>
        </w:rPr>
        <w:t>., 2007), and a three-factor Turkish version (Karairmak, 2010). Several studies have compared the five-</w:t>
      </w:r>
      <w:r w:rsidR="00F82241" w:rsidRPr="0090305A">
        <w:rPr>
          <w:color w:val="000000" w:themeColor="text1"/>
        </w:rPr>
        <w:lastRenderedPageBreak/>
        <w:t xml:space="preserve">factor measure with unidimensional versions of the CD-RISC with favorable results, including a 22-item unidimensional version of the CD-RISC validated among young adults in Australia (Burns &amp; Anstey, 2010), and a unidimensional 10-item measure validated among American  </w:t>
      </w:r>
      <w:r w:rsidR="004203B5" w:rsidRPr="0090305A">
        <w:rPr>
          <w:color w:val="000000" w:themeColor="text1"/>
        </w:rPr>
        <w:t>undergraduates</w:t>
      </w:r>
      <w:r w:rsidR="00F82241" w:rsidRPr="0090305A">
        <w:rPr>
          <w:color w:val="000000" w:themeColor="text1"/>
        </w:rPr>
        <w:t xml:space="preserve"> (Campbell-Sills &amp; Stein, 2007).</w:t>
      </w:r>
      <w:r w:rsidR="006D156D" w:rsidRPr="0090305A">
        <w:rPr>
          <w:color w:val="000000" w:themeColor="text1"/>
        </w:rPr>
        <w:t xml:space="preserve">Therefore, </w:t>
      </w:r>
      <w:r w:rsidR="00312DB6" w:rsidRPr="0090305A">
        <w:rPr>
          <w:color w:val="000000" w:themeColor="text1"/>
        </w:rPr>
        <w:t>the first objective</w:t>
      </w:r>
      <w:r w:rsidR="006D156D" w:rsidRPr="0090305A">
        <w:rPr>
          <w:color w:val="000000" w:themeColor="text1"/>
        </w:rPr>
        <w:t xml:space="preserve"> of this study </w:t>
      </w:r>
      <w:r w:rsidRPr="0090305A">
        <w:rPr>
          <w:color w:val="000000" w:themeColor="text1"/>
        </w:rPr>
        <w:t>i</w:t>
      </w:r>
      <w:r w:rsidR="006D156D" w:rsidRPr="0090305A">
        <w:rPr>
          <w:color w:val="000000" w:themeColor="text1"/>
        </w:rPr>
        <w:t xml:space="preserve">s to evaluate the psychometric properties of the Connor-Davidson Resilience Scale (CD-RISC) with the aim of determining whether it can be used as a reliable and valid tool to assess </w:t>
      </w:r>
      <w:r w:rsidR="002D4043" w:rsidRPr="0090305A">
        <w:rPr>
          <w:color w:val="000000" w:themeColor="text1"/>
        </w:rPr>
        <w:t>public relations professionals</w:t>
      </w:r>
      <w:r w:rsidR="006D156D" w:rsidRPr="0090305A">
        <w:rPr>
          <w:color w:val="000000" w:themeColor="text1"/>
        </w:rPr>
        <w:t>’ resilience</w:t>
      </w:r>
      <w:r w:rsidR="000E0B34" w:rsidRPr="0090305A">
        <w:rPr>
          <w:color w:val="000000" w:themeColor="text1"/>
        </w:rPr>
        <w:t>.</w:t>
      </w:r>
    </w:p>
    <w:p w14:paraId="30A945B2" w14:textId="7E5BEDE1" w:rsidR="00174948" w:rsidRPr="0090305A" w:rsidRDefault="000F70D1">
      <w:pPr>
        <w:pStyle w:val="TextoAPA"/>
        <w:rPr>
          <w:color w:val="000000" w:themeColor="text1"/>
        </w:rPr>
      </w:pPr>
      <w:r w:rsidRPr="0090305A">
        <w:rPr>
          <w:b/>
          <w:color w:val="000000" w:themeColor="text1"/>
        </w:rPr>
        <w:t>Excellence</w:t>
      </w:r>
      <w:r w:rsidR="00233476" w:rsidRPr="0090305A">
        <w:rPr>
          <w:b/>
          <w:color w:val="000000" w:themeColor="text1"/>
        </w:rPr>
        <w:t>, influence and success</w:t>
      </w:r>
      <w:r w:rsidRPr="0090305A">
        <w:rPr>
          <w:color w:val="000000" w:themeColor="text1"/>
        </w:rPr>
        <w:t>.</w:t>
      </w:r>
      <w:r w:rsidR="003F5FD9" w:rsidRPr="0090305A">
        <w:rPr>
          <w:color w:val="000000" w:themeColor="text1"/>
        </w:rPr>
        <w:t xml:space="preserve"> Excellent communication departments were identified with the comparative excellence framework (Zerfass et al., 2014), which combines conceptual considerations with self-assessments of communication professionals and statistical analyses (Verčič &amp; Zerfass, 2016). Excellence is based on the internal standing of the communication department within the organization (influence) and external results of the communication department’s activities, as well as its basic qualifications (performance). Each of these two components was calculated on the basis of four dimensions: the first on advisory influence (where senior managers take the communications recommendations seriously) and executive influence (where communication will likely become a part of senior-level meetings dealing with organizational strategic planning), and the second on overall communication success (where the communication of the organization is successful) and department competence (where the quality of the communication department is better compared to those of competing organizations). </w:t>
      </w:r>
      <w:r w:rsidR="00174948" w:rsidRPr="0090305A">
        <w:rPr>
          <w:color w:val="000000" w:themeColor="text1"/>
        </w:rPr>
        <w:t xml:space="preserve">Only organizations clearly outperforming in all four dimensions (values 6 or </w:t>
      </w:r>
      <w:r w:rsidR="00C8706E" w:rsidRPr="0090305A">
        <w:rPr>
          <w:color w:val="000000" w:themeColor="text1"/>
        </w:rPr>
        <w:t>7 on a seven-point Likert scale</w:t>
      </w:r>
      <w:r w:rsidR="00174948" w:rsidRPr="0090305A">
        <w:rPr>
          <w:color w:val="000000" w:themeColor="text1"/>
        </w:rPr>
        <w:t>) were considered as excellent in the benchmark exercise.</w:t>
      </w:r>
    </w:p>
    <w:p w14:paraId="27C1CE3F" w14:textId="5210701D" w:rsidR="00E5049C" w:rsidRPr="0090305A" w:rsidRDefault="00E5049C">
      <w:pPr>
        <w:pStyle w:val="TextoAPA"/>
        <w:rPr>
          <w:color w:val="000000" w:themeColor="text1"/>
        </w:rPr>
      </w:pPr>
      <w:r w:rsidRPr="0090305A">
        <w:rPr>
          <w:b/>
          <w:bCs/>
          <w:color w:val="000000" w:themeColor="text1"/>
        </w:rPr>
        <w:lastRenderedPageBreak/>
        <w:t>Social media skills</w:t>
      </w:r>
      <w:r>
        <w:rPr>
          <w:b/>
          <w:bCs/>
          <w:color w:val="000000" w:themeColor="text1"/>
        </w:rPr>
        <w:t xml:space="preserve">. </w:t>
      </w:r>
      <w:r w:rsidR="00CD7C27" w:rsidRPr="0090305A">
        <w:rPr>
          <w:color w:val="000000" w:themeColor="text1"/>
        </w:rPr>
        <w:t xml:space="preserve">Coping with the digital evolution </w:t>
      </w:r>
      <w:r w:rsidR="007D1F8B">
        <w:rPr>
          <w:color w:val="000000" w:themeColor="text1"/>
        </w:rPr>
        <w:t>has been</w:t>
      </w:r>
      <w:r w:rsidR="00CD7C27" w:rsidRPr="0090305A">
        <w:rPr>
          <w:color w:val="000000" w:themeColor="text1"/>
        </w:rPr>
        <w:t xml:space="preserve"> consistently </w:t>
      </w:r>
      <w:r w:rsidR="007D1F8B">
        <w:rPr>
          <w:color w:val="000000" w:themeColor="text1"/>
        </w:rPr>
        <w:t xml:space="preserve">one of </w:t>
      </w:r>
      <w:r w:rsidR="00CD7C27" w:rsidRPr="0090305A">
        <w:rPr>
          <w:color w:val="000000" w:themeColor="text1"/>
        </w:rPr>
        <w:t>the key challenges for communication management over the past ten years</w:t>
      </w:r>
      <w:r w:rsidR="00CD7C27">
        <w:rPr>
          <w:color w:val="000000" w:themeColor="text1"/>
        </w:rPr>
        <w:t xml:space="preserve"> (Zerfass et al., 2016)</w:t>
      </w:r>
      <w:r w:rsidR="00CD7C27" w:rsidRPr="0090305A">
        <w:rPr>
          <w:color w:val="000000" w:themeColor="text1"/>
        </w:rPr>
        <w:t>.</w:t>
      </w:r>
      <w:r w:rsidR="00E77105">
        <w:rPr>
          <w:color w:val="000000" w:themeColor="text1"/>
        </w:rPr>
        <w:t xml:space="preserve"> Recently, new issues related </w:t>
      </w:r>
      <w:r w:rsidR="007D1F8B">
        <w:rPr>
          <w:color w:val="000000" w:themeColor="text1"/>
        </w:rPr>
        <w:t xml:space="preserve">to </w:t>
      </w:r>
      <w:r w:rsidR="00E77105">
        <w:rPr>
          <w:color w:val="000000" w:themeColor="text1"/>
        </w:rPr>
        <w:t xml:space="preserve">the digitalization and the social web have </w:t>
      </w:r>
      <w:r w:rsidR="00D56E54">
        <w:rPr>
          <w:color w:val="000000" w:themeColor="text1"/>
        </w:rPr>
        <w:t>emerged</w:t>
      </w:r>
      <w:r w:rsidR="00E77105">
        <w:rPr>
          <w:color w:val="000000" w:themeColor="text1"/>
        </w:rPr>
        <w:t xml:space="preserve">, such as </w:t>
      </w:r>
      <w:r w:rsidR="007D1F8B" w:rsidRPr="007D1F8B">
        <w:rPr>
          <w:color w:val="000000" w:themeColor="text1"/>
        </w:rPr>
        <w:t>matching the</w:t>
      </w:r>
      <w:r w:rsidR="007D1F8B">
        <w:rPr>
          <w:color w:val="000000" w:themeColor="text1"/>
        </w:rPr>
        <w:t xml:space="preserve"> </w:t>
      </w:r>
      <w:r w:rsidR="007D1F8B" w:rsidRPr="007D1F8B">
        <w:rPr>
          <w:color w:val="000000" w:themeColor="text1"/>
        </w:rPr>
        <w:t>need to address more audiences and channels with limited resources,</w:t>
      </w:r>
      <w:r w:rsidR="007D1F8B">
        <w:rPr>
          <w:color w:val="000000" w:themeColor="text1"/>
        </w:rPr>
        <w:t xml:space="preserve"> </w:t>
      </w:r>
      <w:r w:rsidR="007D1F8B" w:rsidRPr="007D1F8B">
        <w:rPr>
          <w:color w:val="000000" w:themeColor="text1"/>
        </w:rPr>
        <w:t>dealing with the rising flow of information, more transparency and</w:t>
      </w:r>
      <w:r w:rsidR="007D1F8B">
        <w:rPr>
          <w:color w:val="000000" w:themeColor="text1"/>
        </w:rPr>
        <w:t xml:space="preserve"> </w:t>
      </w:r>
      <w:r w:rsidR="007D1F8B" w:rsidRPr="007D1F8B">
        <w:rPr>
          <w:color w:val="000000" w:themeColor="text1"/>
        </w:rPr>
        <w:t>active audiences,</w:t>
      </w:r>
      <w:r w:rsidR="007D1F8B">
        <w:rPr>
          <w:color w:val="000000" w:themeColor="text1"/>
        </w:rPr>
        <w:t xml:space="preserve"> </w:t>
      </w:r>
      <w:r w:rsidR="00583EF9">
        <w:rPr>
          <w:color w:val="000000" w:themeColor="text1"/>
        </w:rPr>
        <w:t xml:space="preserve">and </w:t>
      </w:r>
      <w:r w:rsidR="00583EF9" w:rsidRPr="007D1F8B">
        <w:rPr>
          <w:color w:val="000000" w:themeColor="text1"/>
        </w:rPr>
        <w:t>using</w:t>
      </w:r>
      <w:r w:rsidR="007D1F8B" w:rsidRPr="007D1F8B">
        <w:rPr>
          <w:color w:val="000000" w:themeColor="text1"/>
        </w:rPr>
        <w:t xml:space="preserve"> big data.</w:t>
      </w:r>
      <w:r w:rsidR="00CD7C27">
        <w:rPr>
          <w:color w:val="000000" w:themeColor="text1"/>
        </w:rPr>
        <w:t xml:space="preserve"> </w:t>
      </w:r>
      <w:r w:rsidRPr="00CD7C27">
        <w:rPr>
          <w:color w:val="000000" w:themeColor="text1"/>
        </w:rPr>
        <w:t>The s</w:t>
      </w:r>
      <w:r w:rsidRPr="0090305A">
        <w:rPr>
          <w:color w:val="000000" w:themeColor="text1"/>
        </w:rPr>
        <w:t xml:space="preserve">urvey tracked the level of social media </w:t>
      </w:r>
      <w:r w:rsidR="00CC26A7" w:rsidRPr="00CD7C27">
        <w:rPr>
          <w:color w:val="000000" w:themeColor="text1"/>
        </w:rPr>
        <w:t xml:space="preserve">skills </w:t>
      </w:r>
      <w:r w:rsidRPr="0090305A">
        <w:rPr>
          <w:color w:val="000000" w:themeColor="text1"/>
        </w:rPr>
        <w:t>among communication professionals</w:t>
      </w:r>
      <w:r w:rsidR="004C2778">
        <w:rPr>
          <w:color w:val="000000" w:themeColor="text1"/>
        </w:rPr>
        <w:t>, aiming</w:t>
      </w:r>
      <w:r w:rsidR="00583EF9">
        <w:rPr>
          <w:color w:val="000000" w:themeColor="text1"/>
        </w:rPr>
        <w:t xml:space="preserve"> to </w:t>
      </w:r>
      <w:r w:rsidR="00C54763">
        <w:rPr>
          <w:color w:val="000000" w:themeColor="text1"/>
        </w:rPr>
        <w:t>explore its effect on resilience</w:t>
      </w:r>
      <w:r w:rsidRPr="0090305A">
        <w:rPr>
          <w:color w:val="000000" w:themeColor="text1"/>
        </w:rPr>
        <w:t>. Participants were asked to rate their personal capabilities using a 5-point scale in areas related to the use of social media channels, such as delivering messages via social media, developing social media strategies, managing online communities or setting up social media platforms. Based on the answers, we divide</w:t>
      </w:r>
      <w:r w:rsidR="00CC26A7">
        <w:rPr>
          <w:color w:val="000000" w:themeColor="text1"/>
        </w:rPr>
        <w:t>d</w:t>
      </w:r>
      <w:r w:rsidRPr="0090305A">
        <w:rPr>
          <w:color w:val="000000" w:themeColor="text1"/>
        </w:rPr>
        <w:t xml:space="preserve"> the sample population in five categories ranging from very low to very high developed social media skills.</w:t>
      </w:r>
    </w:p>
    <w:p w14:paraId="113330D4" w14:textId="4063ECC1" w:rsidR="0087010A" w:rsidRPr="0090305A" w:rsidRDefault="00F54278" w:rsidP="007D1F8B">
      <w:pPr>
        <w:pStyle w:val="TextoAPA"/>
        <w:rPr>
          <w:color w:val="000000" w:themeColor="text1"/>
        </w:rPr>
      </w:pPr>
      <w:r w:rsidRPr="0090305A">
        <w:rPr>
          <w:b/>
          <w:color w:val="000000" w:themeColor="text1"/>
        </w:rPr>
        <w:t>Sociod</w:t>
      </w:r>
      <w:r w:rsidR="00434B31" w:rsidRPr="0090305A">
        <w:rPr>
          <w:b/>
          <w:color w:val="000000" w:themeColor="text1"/>
        </w:rPr>
        <w:t>emographic</w:t>
      </w:r>
      <w:r w:rsidRPr="0090305A">
        <w:rPr>
          <w:b/>
          <w:color w:val="000000" w:themeColor="text1"/>
        </w:rPr>
        <w:t xml:space="preserve"> </w:t>
      </w:r>
      <w:r w:rsidR="00434B31" w:rsidRPr="0090305A">
        <w:rPr>
          <w:b/>
          <w:color w:val="000000" w:themeColor="text1"/>
        </w:rPr>
        <w:t>and work-related information</w:t>
      </w:r>
      <w:r w:rsidR="00434B31" w:rsidRPr="0090305A">
        <w:rPr>
          <w:color w:val="000000" w:themeColor="text1"/>
        </w:rPr>
        <w:t xml:space="preserve">: </w:t>
      </w:r>
      <w:r w:rsidRPr="0090305A">
        <w:rPr>
          <w:color w:val="000000" w:themeColor="text1"/>
        </w:rPr>
        <w:t>Sociod</w:t>
      </w:r>
      <w:r w:rsidR="00434B31" w:rsidRPr="0090305A">
        <w:rPr>
          <w:color w:val="000000" w:themeColor="text1"/>
        </w:rPr>
        <w:t xml:space="preserve">emographic and work-related variables were collected from participants. The </w:t>
      </w:r>
      <w:r w:rsidRPr="0090305A">
        <w:rPr>
          <w:color w:val="000000" w:themeColor="text1"/>
        </w:rPr>
        <w:t>socio</w:t>
      </w:r>
      <w:r w:rsidR="00434B31" w:rsidRPr="0090305A">
        <w:rPr>
          <w:color w:val="000000" w:themeColor="text1"/>
        </w:rPr>
        <w:t>demographic variables of Latin American practitioners included age, gender</w:t>
      </w:r>
      <w:r w:rsidR="0087010A" w:rsidRPr="0090305A">
        <w:rPr>
          <w:color w:val="000000" w:themeColor="text1"/>
        </w:rPr>
        <w:t>, educational level, and country of employment</w:t>
      </w:r>
      <w:r w:rsidR="00434B31" w:rsidRPr="0090305A">
        <w:rPr>
          <w:color w:val="000000" w:themeColor="text1"/>
        </w:rPr>
        <w:t xml:space="preserve">. </w:t>
      </w:r>
      <w:r w:rsidR="0087010A" w:rsidRPr="0090305A">
        <w:rPr>
          <w:color w:val="000000" w:themeColor="text1"/>
        </w:rPr>
        <w:t>Work-r</w:t>
      </w:r>
      <w:r w:rsidR="00434B31" w:rsidRPr="0090305A">
        <w:rPr>
          <w:color w:val="000000" w:themeColor="text1"/>
        </w:rPr>
        <w:t xml:space="preserve">elated </w:t>
      </w:r>
      <w:r w:rsidR="0087010A" w:rsidRPr="0090305A">
        <w:rPr>
          <w:color w:val="000000" w:themeColor="text1"/>
        </w:rPr>
        <w:t>i</w:t>
      </w:r>
      <w:r w:rsidR="00434B31" w:rsidRPr="0090305A">
        <w:rPr>
          <w:color w:val="000000" w:themeColor="text1"/>
        </w:rPr>
        <w:t>nformation included</w:t>
      </w:r>
      <w:r w:rsidR="0087010A" w:rsidRPr="0090305A">
        <w:rPr>
          <w:color w:val="000000" w:themeColor="text1"/>
        </w:rPr>
        <w:t>, salary, job experience, type of organization, and hierarchy level.</w:t>
      </w:r>
    </w:p>
    <w:p w14:paraId="22F753BD" w14:textId="577FF9B6" w:rsidR="000E0B34" w:rsidRPr="0090305A" w:rsidRDefault="001406BE">
      <w:pPr>
        <w:pStyle w:val="TextoAPA"/>
        <w:outlineLvl w:val="0"/>
        <w:rPr>
          <w:b/>
          <w:color w:val="000000" w:themeColor="text1"/>
        </w:rPr>
      </w:pPr>
      <w:r w:rsidRPr="0090305A">
        <w:rPr>
          <w:b/>
          <w:color w:val="000000" w:themeColor="text1"/>
        </w:rPr>
        <w:t>Data Analysis</w:t>
      </w:r>
    </w:p>
    <w:p w14:paraId="702AFD5B" w14:textId="23E2D7BA" w:rsidR="001E1180" w:rsidRPr="0090305A" w:rsidRDefault="001E1180">
      <w:pPr>
        <w:pStyle w:val="TextoAPA"/>
        <w:rPr>
          <w:color w:val="000000" w:themeColor="text1"/>
        </w:rPr>
      </w:pPr>
      <w:r w:rsidRPr="0090305A">
        <w:rPr>
          <w:color w:val="000000" w:themeColor="text1"/>
        </w:rPr>
        <w:t>All statistical analysis was conducted using SPSS. Descriptive statistics were presented as means and standard deviations for continuous variables, and frequencies and proportions for categorical variables.</w:t>
      </w:r>
      <w:r w:rsidR="00423024" w:rsidRPr="0090305A">
        <w:rPr>
          <w:color w:val="000000" w:themeColor="text1"/>
        </w:rPr>
        <w:t xml:space="preserve"> Significance for all statistical tests was set at 0.05 or less (2-tailed).</w:t>
      </w:r>
      <w:r w:rsidRPr="0090305A">
        <w:rPr>
          <w:color w:val="000000" w:themeColor="text1"/>
        </w:rPr>
        <w:t xml:space="preserve"> An exploratory analysis was conducted to identify underlying factor structure of the original CD-RISC. </w:t>
      </w:r>
      <w:r w:rsidR="001406BE" w:rsidRPr="0090305A">
        <w:rPr>
          <w:color w:val="000000" w:themeColor="text1"/>
        </w:rPr>
        <w:t xml:space="preserve">In accordance with Kaiser’s rule, principal components with eigenvalues greater than 1.0 were selected for oblique (direct oblimin) rotation. Oblique rotation is preferable when the </w:t>
      </w:r>
      <w:r w:rsidR="001406BE" w:rsidRPr="0090305A">
        <w:rPr>
          <w:color w:val="000000" w:themeColor="text1"/>
        </w:rPr>
        <w:lastRenderedPageBreak/>
        <w:t>construct under exploration is expected to have dimensions (factors) that relate to each other. Exploratory factor analysis yielded four factors accounting for 5</w:t>
      </w:r>
      <w:r w:rsidR="000A4727" w:rsidRPr="0090305A">
        <w:rPr>
          <w:color w:val="000000" w:themeColor="text1"/>
        </w:rPr>
        <w:t>0.</w:t>
      </w:r>
      <w:r w:rsidR="0012476B" w:rsidRPr="0090305A">
        <w:rPr>
          <w:color w:val="000000" w:themeColor="text1"/>
        </w:rPr>
        <w:t>7</w:t>
      </w:r>
      <w:r w:rsidR="001406BE" w:rsidRPr="0090305A">
        <w:rPr>
          <w:color w:val="000000" w:themeColor="text1"/>
        </w:rPr>
        <w:t>% of the variance of the scale. Cronbach’s alpha coefficient was used to assess internal consistency for each f</w:t>
      </w:r>
      <w:r w:rsidR="003212E2" w:rsidRPr="0090305A">
        <w:rPr>
          <w:color w:val="000000" w:themeColor="text1"/>
        </w:rPr>
        <w:t xml:space="preserve">actor and for the whole scale. </w:t>
      </w:r>
    </w:p>
    <w:p w14:paraId="7439C7CF" w14:textId="782B77BC" w:rsidR="00867248" w:rsidRPr="0090305A" w:rsidRDefault="00492907">
      <w:pPr>
        <w:pStyle w:val="TextoAPA"/>
        <w:rPr>
          <w:color w:val="000000" w:themeColor="text1"/>
        </w:rPr>
      </w:pPr>
      <w:r w:rsidRPr="0090305A">
        <w:rPr>
          <w:color w:val="000000" w:themeColor="text1"/>
        </w:rPr>
        <w:t>A series of Pearson’s product–moment correlations were performed, which examined the relationship between personal</w:t>
      </w:r>
      <w:r w:rsidR="002D2E47" w:rsidRPr="0090305A">
        <w:rPr>
          <w:color w:val="000000" w:themeColor="text1"/>
        </w:rPr>
        <w:t xml:space="preserve"> and work-related</w:t>
      </w:r>
      <w:r w:rsidRPr="0090305A">
        <w:rPr>
          <w:color w:val="000000" w:themeColor="text1"/>
        </w:rPr>
        <w:t xml:space="preserve"> characteristics (age, years of experience,</w:t>
      </w:r>
      <w:r w:rsidR="002D2E47" w:rsidRPr="0090305A">
        <w:rPr>
          <w:color w:val="000000" w:themeColor="text1"/>
        </w:rPr>
        <w:t xml:space="preserve"> salary, hierarchy, type of organization,</w:t>
      </w:r>
      <w:r w:rsidRPr="0090305A">
        <w:rPr>
          <w:color w:val="000000" w:themeColor="text1"/>
        </w:rPr>
        <w:t xml:space="preserve"> education</w:t>
      </w:r>
      <w:r w:rsidR="002D2E47" w:rsidRPr="0090305A">
        <w:rPr>
          <w:color w:val="000000" w:themeColor="text1"/>
        </w:rPr>
        <w:t>, influence, success and excellence</w:t>
      </w:r>
      <w:r w:rsidRPr="0090305A">
        <w:rPr>
          <w:color w:val="000000" w:themeColor="text1"/>
        </w:rPr>
        <w:t xml:space="preserve">), and resilience (CD-RISC) for </w:t>
      </w:r>
      <w:r w:rsidR="00AE2B5A" w:rsidRPr="0090305A">
        <w:rPr>
          <w:color w:val="000000" w:themeColor="text1"/>
        </w:rPr>
        <w:t>Latin American public relations practitioners</w:t>
      </w:r>
      <w:r w:rsidRPr="0090305A">
        <w:rPr>
          <w:color w:val="000000" w:themeColor="text1"/>
        </w:rPr>
        <w:t>. The next stage of analysis used a standard multiple regression analysis. A probability of less than 0.05 was set for statistical significance.</w:t>
      </w:r>
    </w:p>
    <w:p w14:paraId="7A1972B4" w14:textId="77777777" w:rsidR="00701FB0" w:rsidRPr="0090305A" w:rsidRDefault="00537982">
      <w:pPr>
        <w:pStyle w:val="Normal1"/>
        <w:spacing w:after="0" w:line="480" w:lineRule="auto"/>
        <w:contextualSpacing/>
        <w:jc w:val="center"/>
        <w:outlineLvl w:val="0"/>
        <w:rPr>
          <w:rFonts w:ascii="Times New Roman" w:hAnsi="Times New Roman" w:cs="Times New Roman"/>
          <w:b/>
          <w:color w:val="000000" w:themeColor="text1"/>
          <w:sz w:val="24"/>
          <w:szCs w:val="24"/>
        </w:rPr>
      </w:pPr>
      <w:r w:rsidRPr="0090305A">
        <w:rPr>
          <w:rFonts w:ascii="Times New Roman" w:eastAsia="Times New Roman" w:hAnsi="Times New Roman" w:cs="Times New Roman"/>
          <w:b/>
          <w:color w:val="000000" w:themeColor="text1"/>
          <w:sz w:val="24"/>
          <w:szCs w:val="24"/>
        </w:rPr>
        <w:t>Findings</w:t>
      </w:r>
    </w:p>
    <w:p w14:paraId="24136471" w14:textId="77777777" w:rsidR="003A0BAF" w:rsidRPr="0090305A" w:rsidRDefault="003A0BAF" w:rsidP="0090305A">
      <w:pPr>
        <w:pStyle w:val="Normal1"/>
        <w:spacing w:after="0" w:line="480" w:lineRule="auto"/>
        <w:ind w:firstLine="720"/>
        <w:contextualSpacing/>
        <w:outlineLvl w:val="0"/>
        <w:rPr>
          <w:rFonts w:ascii="Times New Roman" w:hAnsi="Times New Roman" w:cs="Times New Roman"/>
          <w:b/>
          <w:color w:val="000000" w:themeColor="text1"/>
          <w:sz w:val="24"/>
          <w:szCs w:val="24"/>
        </w:rPr>
      </w:pPr>
      <w:r w:rsidRPr="0090305A">
        <w:rPr>
          <w:rFonts w:ascii="Times New Roman" w:hAnsi="Times New Roman" w:cs="Times New Roman"/>
          <w:b/>
          <w:color w:val="000000" w:themeColor="text1"/>
          <w:sz w:val="24"/>
          <w:szCs w:val="24"/>
        </w:rPr>
        <w:t>Factor structure and reliability</w:t>
      </w:r>
    </w:p>
    <w:p w14:paraId="70C82F52" w14:textId="1700FA47" w:rsidR="007E1CE7" w:rsidRPr="0090305A" w:rsidRDefault="00A319D1" w:rsidP="0090305A">
      <w:pPr>
        <w:pStyle w:val="Normal1"/>
        <w:spacing w:after="0" w:line="480" w:lineRule="auto"/>
        <w:ind w:firstLine="720"/>
        <w:contextualSpacing/>
        <w:outlineLvl w:val="0"/>
        <w:rPr>
          <w:rFonts w:ascii="Times New Roman" w:hAnsi="Times New Roman" w:cs="Times New Roman"/>
          <w:b/>
          <w:color w:val="000000" w:themeColor="text1"/>
          <w:sz w:val="24"/>
          <w:szCs w:val="24"/>
        </w:rPr>
      </w:pPr>
      <w:r w:rsidRPr="0090305A">
        <w:rPr>
          <w:rFonts w:ascii="Times New Roman" w:hAnsi="Times New Roman" w:cs="Times New Roman"/>
          <w:color w:val="000000" w:themeColor="text1"/>
          <w:sz w:val="24"/>
          <w:szCs w:val="24"/>
        </w:rPr>
        <w:t>R</w:t>
      </w:r>
      <w:r w:rsidR="007856D2" w:rsidRPr="0090305A">
        <w:rPr>
          <w:rFonts w:ascii="Times New Roman" w:hAnsi="Times New Roman" w:cs="Times New Roman"/>
          <w:color w:val="000000" w:themeColor="text1"/>
          <w:sz w:val="24"/>
          <w:szCs w:val="24"/>
        </w:rPr>
        <w:t xml:space="preserve">esults did not support the factorial structure of the original or the CD-RISC, but the exploratory factor analysis results revealed a four-factor model that seemed to fit. </w:t>
      </w:r>
      <w:r w:rsidR="002F0A9E" w:rsidRPr="0090305A">
        <w:rPr>
          <w:rFonts w:ascii="Times New Roman" w:hAnsi="Times New Roman" w:cs="Times New Roman"/>
          <w:color w:val="000000" w:themeColor="text1"/>
          <w:sz w:val="24"/>
          <w:szCs w:val="24"/>
        </w:rPr>
        <w:t xml:space="preserve">The analysis was performed on the matrix of polychoric correlations, reflecting the ordinal nature of the input data. The adequacy of the data was confirmed by Bartlett’s test of sphericity </w:t>
      </w:r>
      <w:r w:rsidR="000D6F04" w:rsidRPr="0090305A">
        <w:rPr>
          <w:rFonts w:ascii="Times New Roman" w:hAnsi="Times New Roman" w:cs="Times New Roman"/>
          <w:color w:val="000000" w:themeColor="text1"/>
          <w:sz w:val="24"/>
          <w:szCs w:val="24"/>
        </w:rPr>
        <w:t>(</w:t>
      </w:r>
      <w:r w:rsidR="000D6F04" w:rsidRPr="0090305A">
        <w:rPr>
          <w:rFonts w:ascii="Times New Roman" w:hAnsi="Times New Roman" w:cs="Times New Roman"/>
          <w:i/>
          <w:color w:val="000000" w:themeColor="text1"/>
          <w:sz w:val="24"/>
          <w:szCs w:val="24"/>
        </w:rPr>
        <w:t xml:space="preserve">df </w:t>
      </w:r>
      <w:r w:rsidR="000D6F04" w:rsidRPr="0090305A">
        <w:rPr>
          <w:rFonts w:ascii="Times New Roman" w:hAnsi="Times New Roman" w:cs="Times New Roman"/>
          <w:color w:val="000000" w:themeColor="text1"/>
          <w:sz w:val="24"/>
          <w:szCs w:val="24"/>
        </w:rPr>
        <w:t>=275</w:t>
      </w:r>
      <w:r w:rsidR="002F0A9E" w:rsidRPr="0090305A">
        <w:rPr>
          <w:rFonts w:ascii="Times New Roman" w:hAnsi="Times New Roman" w:cs="Times New Roman"/>
          <w:color w:val="000000" w:themeColor="text1"/>
          <w:sz w:val="24"/>
          <w:szCs w:val="24"/>
        </w:rPr>
        <w:t xml:space="preserve">, </w:t>
      </w:r>
      <w:r w:rsidR="002F0A9E" w:rsidRPr="0090305A">
        <w:rPr>
          <w:rFonts w:ascii="Times New Roman" w:hAnsi="Times New Roman" w:cs="Times New Roman"/>
          <w:i/>
          <w:color w:val="000000" w:themeColor="text1"/>
          <w:sz w:val="24"/>
          <w:szCs w:val="24"/>
        </w:rPr>
        <w:t>p</w:t>
      </w:r>
      <w:r w:rsidR="002F0A9E" w:rsidRPr="0090305A">
        <w:rPr>
          <w:rFonts w:ascii="Times New Roman" w:hAnsi="Times New Roman" w:cs="Times New Roman"/>
          <w:color w:val="000000" w:themeColor="text1"/>
          <w:sz w:val="24"/>
          <w:szCs w:val="24"/>
        </w:rPr>
        <w:t xml:space="preserve"> &lt;0.001), the Kaiser-Meyer-Olkin (KMO) index </w:t>
      </w:r>
      <w:r w:rsidR="000D6F04" w:rsidRPr="0090305A">
        <w:rPr>
          <w:rFonts w:ascii="Times New Roman" w:hAnsi="Times New Roman" w:cs="Times New Roman"/>
          <w:color w:val="000000" w:themeColor="text1"/>
          <w:sz w:val="24"/>
          <w:szCs w:val="24"/>
        </w:rPr>
        <w:t>(.95</w:t>
      </w:r>
      <w:r w:rsidR="002F0A9E" w:rsidRPr="0090305A">
        <w:rPr>
          <w:rFonts w:ascii="Times New Roman" w:hAnsi="Times New Roman" w:cs="Times New Roman"/>
          <w:color w:val="000000" w:themeColor="text1"/>
          <w:sz w:val="24"/>
          <w:szCs w:val="24"/>
        </w:rPr>
        <w:t>) and the determinant of the matrix (</w:t>
      </w:r>
      <w:r w:rsidR="002F0A9E" w:rsidRPr="0090305A">
        <w:rPr>
          <w:rFonts w:ascii="Times New Roman" w:hAnsi="Times New Roman" w:cs="Times New Roman"/>
          <w:i/>
          <w:color w:val="000000" w:themeColor="text1"/>
          <w:sz w:val="24"/>
          <w:szCs w:val="24"/>
        </w:rPr>
        <w:t xml:space="preserve">p </w:t>
      </w:r>
      <w:r w:rsidR="002F0A9E" w:rsidRPr="0090305A">
        <w:rPr>
          <w:rFonts w:ascii="Times New Roman" w:hAnsi="Times New Roman" w:cs="Times New Roman"/>
          <w:color w:val="000000" w:themeColor="text1"/>
          <w:sz w:val="24"/>
          <w:szCs w:val="24"/>
        </w:rPr>
        <w:t>&lt;0.001).</w:t>
      </w:r>
      <w:r w:rsidR="007856D2" w:rsidRPr="0090305A">
        <w:rPr>
          <w:rFonts w:ascii="Times New Roman" w:hAnsi="Times New Roman" w:cs="Times New Roman"/>
          <w:color w:val="000000" w:themeColor="text1"/>
          <w:sz w:val="24"/>
          <w:szCs w:val="24"/>
        </w:rPr>
        <w:t xml:space="preserve"> </w:t>
      </w:r>
    </w:p>
    <w:p w14:paraId="1FC2D245" w14:textId="7D146ACF" w:rsidR="00E113A9" w:rsidRPr="00EE7802" w:rsidRDefault="00172B35" w:rsidP="0090305A">
      <w:pPr>
        <w:pStyle w:val="TextoAPA"/>
      </w:pPr>
      <w:r w:rsidRPr="0090305A">
        <w:rPr>
          <w:color w:val="000000" w:themeColor="text1"/>
        </w:rPr>
        <w:t>Th</w:t>
      </w:r>
      <w:r w:rsidR="002F0A9E" w:rsidRPr="0090305A">
        <w:rPr>
          <w:color w:val="000000" w:themeColor="text1"/>
        </w:rPr>
        <w:t>e</w:t>
      </w:r>
      <w:r w:rsidR="00F171BA" w:rsidRPr="0090305A">
        <w:rPr>
          <w:color w:val="000000" w:themeColor="text1"/>
        </w:rPr>
        <w:t xml:space="preserve"> four factors </w:t>
      </w:r>
      <w:r w:rsidRPr="0090305A">
        <w:rPr>
          <w:color w:val="000000" w:themeColor="text1"/>
        </w:rPr>
        <w:t xml:space="preserve">accounted for </w:t>
      </w:r>
      <w:r w:rsidR="000D6F04" w:rsidRPr="0090305A">
        <w:rPr>
          <w:color w:val="000000" w:themeColor="text1"/>
        </w:rPr>
        <w:t>34</w:t>
      </w:r>
      <w:r w:rsidRPr="0090305A">
        <w:rPr>
          <w:color w:val="000000" w:themeColor="text1"/>
        </w:rPr>
        <w:t xml:space="preserve">.8, </w:t>
      </w:r>
      <w:r w:rsidR="000D6F04" w:rsidRPr="0090305A">
        <w:rPr>
          <w:color w:val="000000" w:themeColor="text1"/>
        </w:rPr>
        <w:t>7.0</w:t>
      </w:r>
      <w:r w:rsidR="000A4727" w:rsidRPr="0090305A">
        <w:rPr>
          <w:color w:val="000000" w:themeColor="text1"/>
        </w:rPr>
        <w:t>2.</w:t>
      </w:r>
      <w:r w:rsidRPr="0090305A">
        <w:rPr>
          <w:color w:val="000000" w:themeColor="text1"/>
        </w:rPr>
        <w:t xml:space="preserve"> </w:t>
      </w:r>
      <w:r w:rsidR="000D6F04" w:rsidRPr="0090305A">
        <w:rPr>
          <w:color w:val="000000" w:themeColor="text1"/>
        </w:rPr>
        <w:t>4.8</w:t>
      </w:r>
      <w:r w:rsidRPr="0090305A">
        <w:rPr>
          <w:color w:val="000000" w:themeColor="text1"/>
        </w:rPr>
        <w:t xml:space="preserve"> and 4.</w:t>
      </w:r>
      <w:r w:rsidR="000D6F04" w:rsidRPr="0090305A">
        <w:rPr>
          <w:color w:val="000000" w:themeColor="text1"/>
        </w:rPr>
        <w:t>1</w:t>
      </w:r>
      <w:r w:rsidRPr="0090305A">
        <w:rPr>
          <w:color w:val="000000" w:themeColor="text1"/>
        </w:rPr>
        <w:t>% of the total variance, respectively</w:t>
      </w:r>
      <w:r w:rsidR="007856D2" w:rsidRPr="0090305A">
        <w:rPr>
          <w:color w:val="000000" w:themeColor="text1"/>
        </w:rPr>
        <w:t>, with eigenvalues of 10.</w:t>
      </w:r>
      <w:r w:rsidR="000A4727" w:rsidRPr="0090305A">
        <w:rPr>
          <w:color w:val="000000" w:themeColor="text1"/>
        </w:rPr>
        <w:t>2.</w:t>
      </w:r>
      <w:r w:rsidR="007856D2" w:rsidRPr="0090305A">
        <w:rPr>
          <w:color w:val="000000" w:themeColor="text1"/>
        </w:rPr>
        <w:t xml:space="preserve"> 1.5, 1.2 and 1.1 and the factor loadings of all items greater than 0.4</w:t>
      </w:r>
      <w:r w:rsidR="0042507C" w:rsidRPr="0090305A">
        <w:rPr>
          <w:color w:val="000000" w:themeColor="text1"/>
        </w:rPr>
        <w:t xml:space="preserve"> (Table </w:t>
      </w:r>
      <w:r w:rsidR="00A319D1" w:rsidRPr="0090305A">
        <w:rPr>
          <w:color w:val="000000" w:themeColor="text1"/>
        </w:rPr>
        <w:t>1</w:t>
      </w:r>
      <w:r w:rsidR="0042507C" w:rsidRPr="0090305A">
        <w:rPr>
          <w:color w:val="000000" w:themeColor="text1"/>
        </w:rPr>
        <w:t>)</w:t>
      </w:r>
      <w:r w:rsidRPr="0090305A">
        <w:rPr>
          <w:color w:val="000000" w:themeColor="text1"/>
        </w:rPr>
        <w:t>. Oblique rotation was calculated using this four-factor solution, and the resulting factors were named</w:t>
      </w:r>
      <w:r w:rsidR="00C33036" w:rsidRPr="0090305A">
        <w:rPr>
          <w:color w:val="000000" w:themeColor="text1"/>
        </w:rPr>
        <w:t xml:space="preserve"> goal orientation and</w:t>
      </w:r>
      <w:r w:rsidRPr="0090305A">
        <w:rPr>
          <w:color w:val="000000" w:themeColor="text1"/>
        </w:rPr>
        <w:t xml:space="preserve"> tenacity (items </w:t>
      </w:r>
      <w:r w:rsidR="000A4727" w:rsidRPr="0090305A">
        <w:rPr>
          <w:color w:val="000000" w:themeColor="text1"/>
        </w:rPr>
        <w:t>1,</w:t>
      </w:r>
      <w:r w:rsidR="00D21D80" w:rsidRPr="0090305A">
        <w:rPr>
          <w:color w:val="000000" w:themeColor="text1"/>
        </w:rPr>
        <w:t xml:space="preserve"> </w:t>
      </w:r>
      <w:r w:rsidR="000A4727" w:rsidRPr="0090305A">
        <w:rPr>
          <w:color w:val="000000" w:themeColor="text1"/>
        </w:rPr>
        <w:t>2,</w:t>
      </w:r>
      <w:r w:rsidR="00D21D80" w:rsidRPr="0090305A">
        <w:rPr>
          <w:color w:val="000000" w:themeColor="text1"/>
        </w:rPr>
        <w:t xml:space="preserve"> 1</w:t>
      </w:r>
      <w:r w:rsidR="000A4727" w:rsidRPr="0090305A">
        <w:rPr>
          <w:color w:val="000000" w:themeColor="text1"/>
        </w:rPr>
        <w:t>0,</w:t>
      </w:r>
      <w:r w:rsidR="00D21D80" w:rsidRPr="0090305A">
        <w:rPr>
          <w:color w:val="000000" w:themeColor="text1"/>
        </w:rPr>
        <w:t xml:space="preserve"> 1</w:t>
      </w:r>
      <w:r w:rsidR="000A4727" w:rsidRPr="0090305A">
        <w:rPr>
          <w:color w:val="000000" w:themeColor="text1"/>
        </w:rPr>
        <w:t>1</w:t>
      </w:r>
      <w:r w:rsidR="00D21D80" w:rsidRPr="0090305A">
        <w:rPr>
          <w:color w:val="000000" w:themeColor="text1"/>
        </w:rPr>
        <w:t xml:space="preserve"> and 21-</w:t>
      </w:r>
      <w:r w:rsidR="00E459CF" w:rsidRPr="0090305A">
        <w:rPr>
          <w:color w:val="000000" w:themeColor="text1"/>
        </w:rPr>
        <w:t>25</w:t>
      </w:r>
      <w:r w:rsidRPr="0090305A">
        <w:rPr>
          <w:color w:val="000000" w:themeColor="text1"/>
        </w:rPr>
        <w:t xml:space="preserve">), </w:t>
      </w:r>
      <w:r w:rsidR="00EF3B60" w:rsidRPr="0090305A">
        <w:rPr>
          <w:color w:val="000000" w:themeColor="text1"/>
        </w:rPr>
        <w:t>personal control</w:t>
      </w:r>
      <w:r w:rsidR="00DD72C8" w:rsidRPr="0090305A">
        <w:rPr>
          <w:color w:val="000000" w:themeColor="text1"/>
        </w:rPr>
        <w:t xml:space="preserve"> and hardiness</w:t>
      </w:r>
      <w:r w:rsidR="00240843" w:rsidRPr="0090305A">
        <w:rPr>
          <w:color w:val="000000" w:themeColor="text1"/>
        </w:rPr>
        <w:t xml:space="preserve"> </w:t>
      </w:r>
      <w:r w:rsidRPr="0090305A">
        <w:rPr>
          <w:color w:val="000000" w:themeColor="text1"/>
        </w:rPr>
        <w:t>(1</w:t>
      </w:r>
      <w:r w:rsidR="00E459CF" w:rsidRPr="0090305A">
        <w:rPr>
          <w:color w:val="000000" w:themeColor="text1"/>
        </w:rPr>
        <w:t>4-1</w:t>
      </w:r>
      <w:r w:rsidR="00B50B60" w:rsidRPr="0090305A">
        <w:rPr>
          <w:color w:val="000000" w:themeColor="text1"/>
        </w:rPr>
        <w:t>9</w:t>
      </w:r>
      <w:r w:rsidRPr="0090305A">
        <w:rPr>
          <w:color w:val="000000" w:themeColor="text1"/>
        </w:rPr>
        <w:t xml:space="preserve">), </w:t>
      </w:r>
      <w:r w:rsidR="00EF3B60" w:rsidRPr="0090305A">
        <w:rPr>
          <w:color w:val="000000" w:themeColor="text1"/>
        </w:rPr>
        <w:t xml:space="preserve">tolerance for negative affect and adaptability </w:t>
      </w:r>
      <w:r w:rsidRPr="0090305A">
        <w:rPr>
          <w:color w:val="000000" w:themeColor="text1"/>
        </w:rPr>
        <w:t>(</w:t>
      </w:r>
      <w:r w:rsidR="00E459CF" w:rsidRPr="0090305A">
        <w:rPr>
          <w:color w:val="000000" w:themeColor="text1"/>
        </w:rPr>
        <w:t>4</w:t>
      </w:r>
      <w:r w:rsidRPr="0090305A">
        <w:rPr>
          <w:color w:val="000000" w:themeColor="text1"/>
        </w:rPr>
        <w:t>,</w:t>
      </w:r>
      <w:r w:rsidR="00E459CF" w:rsidRPr="0090305A">
        <w:rPr>
          <w:color w:val="000000" w:themeColor="text1"/>
        </w:rPr>
        <w:t xml:space="preserve"> 7, 8, 12 and 13)</w:t>
      </w:r>
      <w:r w:rsidR="00EF3B60" w:rsidRPr="0090305A">
        <w:rPr>
          <w:color w:val="000000" w:themeColor="text1"/>
        </w:rPr>
        <w:t>,</w:t>
      </w:r>
      <w:r w:rsidR="00E459CF" w:rsidRPr="0090305A">
        <w:rPr>
          <w:color w:val="000000" w:themeColor="text1"/>
        </w:rPr>
        <w:t xml:space="preserve"> and </w:t>
      </w:r>
      <w:r w:rsidR="00E459CF" w:rsidRPr="0090305A">
        <w:rPr>
          <w:color w:val="000000" w:themeColor="text1"/>
        </w:rPr>
        <w:lastRenderedPageBreak/>
        <w:t>intuition</w:t>
      </w:r>
      <w:r w:rsidR="00EF3B60" w:rsidRPr="0090305A">
        <w:rPr>
          <w:color w:val="000000" w:themeColor="text1"/>
        </w:rPr>
        <w:t>/spiritual orientation</w:t>
      </w:r>
      <w:r w:rsidR="00E459CF" w:rsidRPr="0090305A">
        <w:rPr>
          <w:color w:val="000000" w:themeColor="text1"/>
        </w:rPr>
        <w:t xml:space="preserve"> (</w:t>
      </w:r>
      <w:r w:rsidR="000A4727" w:rsidRPr="0090305A">
        <w:rPr>
          <w:color w:val="000000" w:themeColor="text1"/>
        </w:rPr>
        <w:t>3,</w:t>
      </w:r>
      <w:r w:rsidR="00E459CF" w:rsidRPr="0090305A">
        <w:rPr>
          <w:color w:val="000000" w:themeColor="text1"/>
        </w:rPr>
        <w:t xml:space="preserve"> 5, 6, 9 and 20)</w:t>
      </w:r>
      <w:r w:rsidRPr="0090305A">
        <w:rPr>
          <w:color w:val="000000" w:themeColor="text1"/>
        </w:rPr>
        <w:t>.</w:t>
      </w:r>
      <w:r w:rsidR="002D2CB6" w:rsidRPr="0090305A">
        <w:rPr>
          <w:color w:val="000000" w:themeColor="text1"/>
        </w:rPr>
        <w:t xml:space="preserve"> </w:t>
      </w:r>
      <w:r w:rsidR="007856D2" w:rsidRPr="0090305A">
        <w:rPr>
          <w:color w:val="000000" w:themeColor="text1"/>
        </w:rPr>
        <w:t>Internal consistency was evaluated by Cronbach’s alpha, with a value of 0.89</w:t>
      </w:r>
      <w:r w:rsidR="00BC54A5" w:rsidRPr="0090305A">
        <w:rPr>
          <w:color w:val="000000" w:themeColor="text1"/>
        </w:rPr>
        <w:t>, which is considered satisfactory (Bland &amp; Altman, 1997).</w:t>
      </w:r>
      <w:r w:rsidR="004502FD" w:rsidRPr="0090305A">
        <w:rPr>
          <w:color w:val="000000" w:themeColor="text1"/>
        </w:rPr>
        <w:t xml:space="preserve"> Item-total correlation coefficients ranged from 0.38 to 0.64 (median = 0.50).</w:t>
      </w:r>
      <w:r w:rsidR="007E1CE7" w:rsidRPr="0090305A">
        <w:rPr>
          <w:color w:val="000000" w:themeColor="text1"/>
        </w:rPr>
        <w:t xml:space="preserve"> The item with the highest mean score (i.e., highest level of agreement with the statement) was “Pride in my </w:t>
      </w:r>
      <w:r w:rsidR="00EF3B60" w:rsidRPr="0090305A">
        <w:rPr>
          <w:color w:val="000000" w:themeColor="text1"/>
        </w:rPr>
        <w:t>achievements</w:t>
      </w:r>
      <w:r w:rsidR="007E1CE7" w:rsidRPr="0090305A">
        <w:rPr>
          <w:color w:val="000000" w:themeColor="text1"/>
        </w:rPr>
        <w:t>” (</w:t>
      </w:r>
      <w:r w:rsidR="00BB08F1" w:rsidRPr="0090305A">
        <w:rPr>
          <w:color w:val="000000" w:themeColor="text1"/>
        </w:rPr>
        <w:t>M=</w:t>
      </w:r>
      <w:r w:rsidR="007E1CE7" w:rsidRPr="0090305A">
        <w:rPr>
          <w:color w:val="000000" w:themeColor="text1"/>
        </w:rPr>
        <w:t>3.6</w:t>
      </w:r>
      <w:r w:rsidR="000A4727" w:rsidRPr="0090305A">
        <w:rPr>
          <w:color w:val="000000" w:themeColor="text1"/>
        </w:rPr>
        <w:t>3.</w:t>
      </w:r>
      <w:r w:rsidR="007E1CE7" w:rsidRPr="0090305A">
        <w:rPr>
          <w:color w:val="000000" w:themeColor="text1"/>
        </w:rPr>
        <w:t xml:space="preserve"> </w:t>
      </w:r>
      <w:r w:rsidR="00EF3B60" w:rsidRPr="0090305A">
        <w:rPr>
          <w:i/>
          <w:color w:val="000000" w:themeColor="text1"/>
        </w:rPr>
        <w:t>SD</w:t>
      </w:r>
      <w:r w:rsidR="007E1CE7" w:rsidRPr="0090305A">
        <w:rPr>
          <w:color w:val="000000" w:themeColor="text1"/>
        </w:rPr>
        <w:t xml:space="preserve"> = 0.65), whereas the lowest mean score was on the item “Sometimes fate and God can help” (</w:t>
      </w:r>
      <w:r w:rsidR="00BB08F1" w:rsidRPr="0090305A">
        <w:rPr>
          <w:color w:val="000000" w:themeColor="text1"/>
        </w:rPr>
        <w:t>M=</w:t>
      </w:r>
      <w:r w:rsidR="007E1CE7" w:rsidRPr="0090305A">
        <w:rPr>
          <w:color w:val="000000" w:themeColor="text1"/>
        </w:rPr>
        <w:t>2.</w:t>
      </w:r>
      <w:r w:rsidR="000A4727" w:rsidRPr="0090305A">
        <w:rPr>
          <w:color w:val="000000" w:themeColor="text1"/>
        </w:rPr>
        <w:t>1.</w:t>
      </w:r>
      <w:r w:rsidR="007E1CE7" w:rsidRPr="0090305A">
        <w:rPr>
          <w:color w:val="000000" w:themeColor="text1"/>
        </w:rPr>
        <w:t xml:space="preserve"> </w:t>
      </w:r>
      <w:r w:rsidR="00EF3B60" w:rsidRPr="0090305A">
        <w:rPr>
          <w:i/>
          <w:color w:val="000000" w:themeColor="text1"/>
        </w:rPr>
        <w:t>SD</w:t>
      </w:r>
      <w:r w:rsidR="007E1CE7" w:rsidRPr="0090305A">
        <w:rPr>
          <w:color w:val="000000" w:themeColor="text1"/>
        </w:rPr>
        <w:t>=1.32)</w:t>
      </w:r>
      <w:r w:rsidR="0042507C" w:rsidRPr="0090305A">
        <w:rPr>
          <w:color w:val="000000" w:themeColor="text1"/>
        </w:rPr>
        <w:t xml:space="preserve"> (Table 2)</w:t>
      </w:r>
      <w:r w:rsidR="007E1CE7" w:rsidRPr="0090305A">
        <w:rPr>
          <w:color w:val="000000" w:themeColor="text1"/>
        </w:rPr>
        <w:t>.</w:t>
      </w:r>
    </w:p>
    <w:p w14:paraId="14B0DACA" w14:textId="2BF05DAA" w:rsidR="00FF4E80" w:rsidRPr="0090305A" w:rsidRDefault="00FF4E80" w:rsidP="0090305A">
      <w:pPr>
        <w:spacing w:line="480" w:lineRule="auto"/>
        <w:jc w:val="center"/>
        <w:rPr>
          <w:color w:val="000000" w:themeColor="text1"/>
          <w:lang w:val="en-US"/>
        </w:rPr>
      </w:pPr>
    </w:p>
    <w:tbl>
      <w:tblPr>
        <w:tblStyle w:val="TableNormal"/>
        <w:tblW w:w="0" w:type="auto"/>
        <w:tblInd w:w="7" w:type="dxa"/>
        <w:tblLayout w:type="fixed"/>
        <w:tblLook w:val="01E0" w:firstRow="1" w:lastRow="1" w:firstColumn="1" w:lastColumn="1" w:noHBand="0" w:noVBand="0"/>
      </w:tblPr>
      <w:tblGrid>
        <w:gridCol w:w="845"/>
        <w:gridCol w:w="1393"/>
        <w:gridCol w:w="1379"/>
        <w:gridCol w:w="1805"/>
        <w:gridCol w:w="1490"/>
      </w:tblGrid>
      <w:tr w:rsidR="00F65DFC" w14:paraId="5F1BFEBC" w14:textId="77777777" w:rsidTr="007A4637">
        <w:trPr>
          <w:trHeight w:val="398"/>
        </w:trPr>
        <w:tc>
          <w:tcPr>
            <w:tcW w:w="845" w:type="dxa"/>
            <w:tcBorders>
              <w:bottom w:val="single" w:sz="6" w:space="0" w:color="000000"/>
            </w:tcBorders>
          </w:tcPr>
          <w:p w14:paraId="6C5F12D5" w14:textId="77777777" w:rsidR="00F65DFC" w:rsidRDefault="00F65DFC" w:rsidP="007A4637">
            <w:pPr>
              <w:pStyle w:val="TableParagraph"/>
              <w:spacing w:before="3"/>
              <w:rPr>
                <w:sz w:val="15"/>
              </w:rPr>
            </w:pPr>
          </w:p>
          <w:p w14:paraId="166278F5" w14:textId="77777777" w:rsidR="00F65DFC" w:rsidRDefault="00F65DFC" w:rsidP="007A4637">
            <w:pPr>
              <w:pStyle w:val="TableParagraph"/>
              <w:spacing w:before="1"/>
              <w:ind w:left="-1"/>
              <w:rPr>
                <w:sz w:val="16"/>
              </w:rPr>
            </w:pPr>
            <w:r>
              <w:rPr>
                <w:w w:val="95"/>
                <w:sz w:val="16"/>
              </w:rPr>
              <w:t>Item</w:t>
            </w:r>
            <w:r>
              <w:rPr>
                <w:spacing w:val="5"/>
                <w:w w:val="95"/>
                <w:sz w:val="16"/>
              </w:rPr>
              <w:t xml:space="preserve"> </w:t>
            </w:r>
            <w:r>
              <w:rPr>
                <w:w w:val="95"/>
                <w:sz w:val="16"/>
              </w:rPr>
              <w:t>No.</w:t>
            </w:r>
          </w:p>
        </w:tc>
        <w:tc>
          <w:tcPr>
            <w:tcW w:w="1393" w:type="dxa"/>
            <w:tcBorders>
              <w:bottom w:val="single" w:sz="6" w:space="0" w:color="000000"/>
            </w:tcBorders>
          </w:tcPr>
          <w:p w14:paraId="5AC700FB" w14:textId="192AA445" w:rsidR="00F65DFC" w:rsidRDefault="00F65DFC" w:rsidP="007A4637">
            <w:pPr>
              <w:pStyle w:val="TableParagraph"/>
              <w:spacing w:before="6" w:line="230" w:lineRule="auto"/>
              <w:ind w:left="362" w:right="280" w:hanging="235"/>
              <w:rPr>
                <w:sz w:val="16"/>
              </w:rPr>
            </w:pPr>
            <w:r>
              <w:rPr>
                <w:w w:val="90"/>
                <w:sz w:val="16"/>
              </w:rPr>
              <w:t xml:space="preserve"> Factor 1 goal </w:t>
            </w:r>
            <w:r>
              <w:rPr>
                <w:w w:val="90"/>
                <w:sz w:val="16"/>
              </w:rPr>
              <w:t>orientation</w:t>
            </w:r>
            <w:r>
              <w:rPr>
                <w:spacing w:val="12"/>
                <w:w w:val="90"/>
                <w:sz w:val="16"/>
              </w:rPr>
              <w:t xml:space="preserve"> </w:t>
            </w:r>
            <w:r>
              <w:rPr>
                <w:w w:val="90"/>
                <w:sz w:val="16"/>
              </w:rPr>
              <w:t>and</w:t>
            </w:r>
            <w:r>
              <w:rPr>
                <w:spacing w:val="-29"/>
                <w:w w:val="90"/>
                <w:sz w:val="16"/>
              </w:rPr>
              <w:t xml:space="preserve"> </w:t>
            </w:r>
            <w:r>
              <w:rPr>
                <w:sz w:val="16"/>
              </w:rPr>
              <w:t>tenacity</w:t>
            </w:r>
          </w:p>
        </w:tc>
        <w:tc>
          <w:tcPr>
            <w:tcW w:w="1379" w:type="dxa"/>
            <w:tcBorders>
              <w:bottom w:val="single" w:sz="6" w:space="0" w:color="000000"/>
            </w:tcBorders>
          </w:tcPr>
          <w:p w14:paraId="1F7D7CF2" w14:textId="062C4D07" w:rsidR="00F65DFC" w:rsidRDefault="00F65DFC" w:rsidP="007A4637">
            <w:pPr>
              <w:pStyle w:val="TableParagraph"/>
              <w:spacing w:before="6" w:line="230" w:lineRule="auto"/>
              <w:ind w:left="342" w:right="356" w:hanging="57"/>
              <w:rPr>
                <w:sz w:val="16"/>
              </w:rPr>
            </w:pPr>
            <w:r>
              <w:rPr>
                <w:w w:val="90"/>
                <w:sz w:val="16"/>
              </w:rPr>
              <w:t xml:space="preserve">Factor 2 personal </w:t>
            </w:r>
            <w:r>
              <w:rPr>
                <w:w w:val="90"/>
                <w:sz w:val="16"/>
              </w:rPr>
              <w:t>control</w:t>
            </w:r>
            <w:r>
              <w:rPr>
                <w:spacing w:val="11"/>
                <w:w w:val="90"/>
                <w:sz w:val="16"/>
              </w:rPr>
              <w:t xml:space="preserve"> </w:t>
            </w:r>
            <w:r>
              <w:rPr>
                <w:w w:val="90"/>
                <w:sz w:val="16"/>
              </w:rPr>
              <w:t>and</w:t>
            </w:r>
            <w:r>
              <w:rPr>
                <w:spacing w:val="-28"/>
                <w:w w:val="90"/>
                <w:sz w:val="16"/>
              </w:rPr>
              <w:t xml:space="preserve"> </w:t>
            </w:r>
            <w:r>
              <w:rPr>
                <w:w w:val="95"/>
                <w:sz w:val="16"/>
              </w:rPr>
              <w:t>hardiness</w:t>
            </w:r>
          </w:p>
        </w:tc>
        <w:tc>
          <w:tcPr>
            <w:tcW w:w="1805" w:type="dxa"/>
            <w:tcBorders>
              <w:bottom w:val="single" w:sz="6" w:space="0" w:color="000000"/>
            </w:tcBorders>
          </w:tcPr>
          <w:p w14:paraId="2C2F08A3" w14:textId="209339C9" w:rsidR="00F65DFC" w:rsidRDefault="00F65DFC" w:rsidP="007A4637">
            <w:pPr>
              <w:pStyle w:val="TableParagraph"/>
              <w:spacing w:before="6" w:line="230" w:lineRule="auto"/>
              <w:ind w:left="594" w:right="199" w:hanging="233"/>
              <w:rPr>
                <w:sz w:val="16"/>
              </w:rPr>
            </w:pPr>
            <w:r>
              <w:rPr>
                <w:w w:val="95"/>
                <w:sz w:val="16"/>
              </w:rPr>
              <w:t xml:space="preserve">Factor 3 tolerance for </w:t>
            </w:r>
            <w:r>
              <w:rPr>
                <w:w w:val="95"/>
                <w:sz w:val="16"/>
              </w:rPr>
              <w:t>negative</w:t>
            </w:r>
            <w:r>
              <w:rPr>
                <w:spacing w:val="1"/>
                <w:w w:val="95"/>
                <w:sz w:val="16"/>
              </w:rPr>
              <w:t xml:space="preserve"> </w:t>
            </w:r>
            <w:r>
              <w:rPr>
                <w:w w:val="95"/>
                <w:sz w:val="16"/>
              </w:rPr>
              <w:t>affect</w:t>
            </w:r>
            <w:r>
              <w:rPr>
                <w:spacing w:val="2"/>
                <w:w w:val="95"/>
                <w:sz w:val="16"/>
              </w:rPr>
              <w:t xml:space="preserve"> </w:t>
            </w:r>
            <w:r>
              <w:rPr>
                <w:w w:val="95"/>
                <w:sz w:val="16"/>
              </w:rPr>
              <w:t>and</w:t>
            </w:r>
            <w:r>
              <w:rPr>
                <w:spacing w:val="-31"/>
                <w:w w:val="95"/>
                <w:sz w:val="16"/>
              </w:rPr>
              <w:t xml:space="preserve"> </w:t>
            </w:r>
            <w:r>
              <w:rPr>
                <w:sz w:val="16"/>
              </w:rPr>
              <w:t>adaptability</w:t>
            </w:r>
          </w:p>
        </w:tc>
        <w:tc>
          <w:tcPr>
            <w:tcW w:w="1490" w:type="dxa"/>
            <w:tcBorders>
              <w:bottom w:val="single" w:sz="6" w:space="0" w:color="000000"/>
            </w:tcBorders>
          </w:tcPr>
          <w:p w14:paraId="236B1BF3" w14:textId="77777777" w:rsidR="00F65DFC" w:rsidRDefault="00F65DFC" w:rsidP="007A4637">
            <w:pPr>
              <w:pStyle w:val="TableParagraph"/>
              <w:spacing w:before="6" w:line="230" w:lineRule="auto"/>
              <w:ind w:left="209" w:firstLine="52"/>
              <w:rPr>
                <w:sz w:val="16"/>
              </w:rPr>
            </w:pPr>
            <w:r>
              <w:rPr>
                <w:w w:val="90"/>
                <w:sz w:val="16"/>
              </w:rPr>
              <w:t>Factor</w:t>
            </w:r>
            <w:r>
              <w:rPr>
                <w:spacing w:val="1"/>
                <w:w w:val="90"/>
                <w:sz w:val="16"/>
              </w:rPr>
              <w:t xml:space="preserve"> </w:t>
            </w:r>
            <w:r>
              <w:rPr>
                <w:w w:val="90"/>
                <w:sz w:val="16"/>
              </w:rPr>
              <w:t>4</w:t>
            </w:r>
            <w:r>
              <w:rPr>
                <w:spacing w:val="1"/>
                <w:w w:val="90"/>
                <w:sz w:val="16"/>
              </w:rPr>
              <w:t xml:space="preserve"> </w:t>
            </w:r>
            <w:r>
              <w:rPr>
                <w:w w:val="90"/>
                <w:sz w:val="16"/>
              </w:rPr>
              <w:t>intuition/</w:t>
            </w:r>
            <w:r>
              <w:rPr>
                <w:spacing w:val="-29"/>
                <w:w w:val="90"/>
                <w:sz w:val="16"/>
              </w:rPr>
              <w:t xml:space="preserve"> </w:t>
            </w:r>
            <w:r>
              <w:rPr>
                <w:w w:val="90"/>
                <w:sz w:val="16"/>
              </w:rPr>
              <w:t>spiritual</w:t>
            </w:r>
            <w:r>
              <w:rPr>
                <w:spacing w:val="14"/>
                <w:w w:val="90"/>
                <w:sz w:val="16"/>
              </w:rPr>
              <w:t xml:space="preserve"> </w:t>
            </w:r>
            <w:r>
              <w:rPr>
                <w:w w:val="90"/>
                <w:sz w:val="16"/>
              </w:rPr>
              <w:t>orientation</w:t>
            </w:r>
          </w:p>
        </w:tc>
      </w:tr>
      <w:tr w:rsidR="00F65DFC" w14:paraId="55A31C29" w14:textId="77777777" w:rsidTr="007A4637">
        <w:trPr>
          <w:trHeight w:val="287"/>
        </w:trPr>
        <w:tc>
          <w:tcPr>
            <w:tcW w:w="845" w:type="dxa"/>
            <w:tcBorders>
              <w:top w:val="single" w:sz="6" w:space="0" w:color="000000"/>
            </w:tcBorders>
          </w:tcPr>
          <w:p w14:paraId="50085ABF" w14:textId="77777777" w:rsidR="00F65DFC" w:rsidRDefault="00F65DFC" w:rsidP="007A4637">
            <w:pPr>
              <w:pStyle w:val="TableParagraph"/>
              <w:spacing w:before="105" w:line="162" w:lineRule="exact"/>
              <w:rPr>
                <w:sz w:val="16"/>
              </w:rPr>
            </w:pPr>
            <w:r>
              <w:rPr>
                <w:w w:val="95"/>
                <w:sz w:val="16"/>
              </w:rPr>
              <w:t>25</w:t>
            </w:r>
          </w:p>
        </w:tc>
        <w:tc>
          <w:tcPr>
            <w:tcW w:w="1393" w:type="dxa"/>
            <w:tcBorders>
              <w:top w:val="single" w:sz="6" w:space="0" w:color="000000"/>
            </w:tcBorders>
          </w:tcPr>
          <w:p w14:paraId="6B8E332A" w14:textId="77777777" w:rsidR="00F65DFC" w:rsidRDefault="00F65DFC" w:rsidP="007A4637">
            <w:pPr>
              <w:pStyle w:val="TableParagraph"/>
              <w:spacing w:before="105" w:line="162" w:lineRule="exact"/>
              <w:ind w:right="607"/>
              <w:jc w:val="right"/>
              <w:rPr>
                <w:sz w:val="16"/>
              </w:rPr>
            </w:pPr>
            <w:r>
              <w:rPr>
                <w:w w:val="95"/>
                <w:sz w:val="16"/>
              </w:rPr>
              <w:t>0.75</w:t>
            </w:r>
          </w:p>
        </w:tc>
        <w:tc>
          <w:tcPr>
            <w:tcW w:w="1379" w:type="dxa"/>
            <w:tcBorders>
              <w:top w:val="single" w:sz="6" w:space="0" w:color="000000"/>
            </w:tcBorders>
          </w:tcPr>
          <w:p w14:paraId="494DD409" w14:textId="77777777" w:rsidR="00F65DFC" w:rsidRDefault="00F65DFC" w:rsidP="007A4637">
            <w:pPr>
              <w:pStyle w:val="TableParagraph"/>
              <w:rPr>
                <w:rFonts w:ascii="Times New Roman"/>
                <w:sz w:val="18"/>
              </w:rPr>
            </w:pPr>
          </w:p>
        </w:tc>
        <w:tc>
          <w:tcPr>
            <w:tcW w:w="1805" w:type="dxa"/>
            <w:tcBorders>
              <w:top w:val="single" w:sz="6" w:space="0" w:color="000000"/>
            </w:tcBorders>
          </w:tcPr>
          <w:p w14:paraId="49CC27D3" w14:textId="77777777" w:rsidR="00F65DFC" w:rsidRDefault="00F65DFC" w:rsidP="007A4637">
            <w:pPr>
              <w:pStyle w:val="TableParagraph"/>
              <w:rPr>
                <w:rFonts w:ascii="Times New Roman"/>
                <w:sz w:val="18"/>
              </w:rPr>
            </w:pPr>
          </w:p>
        </w:tc>
        <w:tc>
          <w:tcPr>
            <w:tcW w:w="1490" w:type="dxa"/>
            <w:tcBorders>
              <w:top w:val="single" w:sz="6" w:space="0" w:color="000000"/>
            </w:tcBorders>
          </w:tcPr>
          <w:p w14:paraId="3820993A" w14:textId="77777777" w:rsidR="00F65DFC" w:rsidRDefault="00F65DFC" w:rsidP="007A4637">
            <w:pPr>
              <w:pStyle w:val="TableParagraph"/>
              <w:rPr>
                <w:rFonts w:ascii="Times New Roman"/>
                <w:sz w:val="18"/>
              </w:rPr>
            </w:pPr>
          </w:p>
        </w:tc>
      </w:tr>
      <w:tr w:rsidR="00F65DFC" w14:paraId="4BFA3E7B" w14:textId="77777777" w:rsidTr="007A4637">
        <w:trPr>
          <w:trHeight w:val="179"/>
        </w:trPr>
        <w:tc>
          <w:tcPr>
            <w:tcW w:w="845" w:type="dxa"/>
          </w:tcPr>
          <w:p w14:paraId="6D7C45C8" w14:textId="77777777" w:rsidR="00F65DFC" w:rsidRDefault="00F65DFC" w:rsidP="007A4637">
            <w:pPr>
              <w:pStyle w:val="TableParagraph"/>
              <w:spacing w:line="159" w:lineRule="exact"/>
              <w:rPr>
                <w:sz w:val="16"/>
              </w:rPr>
            </w:pPr>
            <w:r>
              <w:rPr>
                <w:w w:val="95"/>
                <w:sz w:val="16"/>
              </w:rPr>
              <w:t>11</w:t>
            </w:r>
          </w:p>
        </w:tc>
        <w:tc>
          <w:tcPr>
            <w:tcW w:w="1393" w:type="dxa"/>
          </w:tcPr>
          <w:p w14:paraId="538DF148" w14:textId="77777777" w:rsidR="00F65DFC" w:rsidRDefault="00F65DFC" w:rsidP="007A4637">
            <w:pPr>
              <w:pStyle w:val="TableParagraph"/>
              <w:spacing w:line="159" w:lineRule="exact"/>
              <w:ind w:right="607"/>
              <w:jc w:val="right"/>
              <w:rPr>
                <w:sz w:val="16"/>
              </w:rPr>
            </w:pPr>
            <w:r>
              <w:rPr>
                <w:w w:val="95"/>
                <w:sz w:val="16"/>
              </w:rPr>
              <w:t>0.68</w:t>
            </w:r>
          </w:p>
        </w:tc>
        <w:tc>
          <w:tcPr>
            <w:tcW w:w="1379" w:type="dxa"/>
          </w:tcPr>
          <w:p w14:paraId="076E3917" w14:textId="77777777" w:rsidR="00F65DFC" w:rsidRDefault="00F65DFC" w:rsidP="007A4637">
            <w:pPr>
              <w:pStyle w:val="TableParagraph"/>
              <w:rPr>
                <w:rFonts w:ascii="Times New Roman"/>
                <w:sz w:val="12"/>
              </w:rPr>
            </w:pPr>
          </w:p>
        </w:tc>
        <w:tc>
          <w:tcPr>
            <w:tcW w:w="1805" w:type="dxa"/>
          </w:tcPr>
          <w:p w14:paraId="2A90EA58" w14:textId="77777777" w:rsidR="00F65DFC" w:rsidRDefault="00F65DFC" w:rsidP="007A4637">
            <w:pPr>
              <w:pStyle w:val="TableParagraph"/>
              <w:rPr>
                <w:rFonts w:ascii="Times New Roman"/>
                <w:sz w:val="12"/>
              </w:rPr>
            </w:pPr>
          </w:p>
        </w:tc>
        <w:tc>
          <w:tcPr>
            <w:tcW w:w="1490" w:type="dxa"/>
          </w:tcPr>
          <w:p w14:paraId="147AF449" w14:textId="77777777" w:rsidR="00F65DFC" w:rsidRDefault="00F65DFC" w:rsidP="007A4637">
            <w:pPr>
              <w:pStyle w:val="TableParagraph"/>
              <w:rPr>
                <w:rFonts w:ascii="Times New Roman"/>
                <w:sz w:val="12"/>
              </w:rPr>
            </w:pPr>
          </w:p>
        </w:tc>
      </w:tr>
      <w:tr w:rsidR="00F65DFC" w14:paraId="7DF30388" w14:textId="77777777" w:rsidTr="007A4637">
        <w:trPr>
          <w:trHeight w:val="179"/>
        </w:trPr>
        <w:tc>
          <w:tcPr>
            <w:tcW w:w="845" w:type="dxa"/>
          </w:tcPr>
          <w:p w14:paraId="5A3BC3BB" w14:textId="77777777" w:rsidR="00F65DFC" w:rsidRDefault="00F65DFC" w:rsidP="007A4637">
            <w:pPr>
              <w:pStyle w:val="TableParagraph"/>
              <w:spacing w:line="159" w:lineRule="exact"/>
              <w:rPr>
                <w:sz w:val="16"/>
              </w:rPr>
            </w:pPr>
            <w:r>
              <w:rPr>
                <w:w w:val="95"/>
                <w:sz w:val="16"/>
              </w:rPr>
              <w:t>24</w:t>
            </w:r>
          </w:p>
        </w:tc>
        <w:tc>
          <w:tcPr>
            <w:tcW w:w="1393" w:type="dxa"/>
          </w:tcPr>
          <w:p w14:paraId="41D0CEFA" w14:textId="77777777" w:rsidR="00F65DFC" w:rsidRDefault="00F65DFC" w:rsidP="007A4637">
            <w:pPr>
              <w:pStyle w:val="TableParagraph"/>
              <w:spacing w:line="159" w:lineRule="exact"/>
              <w:ind w:right="607"/>
              <w:jc w:val="right"/>
              <w:rPr>
                <w:sz w:val="16"/>
              </w:rPr>
            </w:pPr>
            <w:r>
              <w:rPr>
                <w:w w:val="95"/>
                <w:sz w:val="16"/>
              </w:rPr>
              <w:t>0.67</w:t>
            </w:r>
          </w:p>
        </w:tc>
        <w:tc>
          <w:tcPr>
            <w:tcW w:w="1379" w:type="dxa"/>
          </w:tcPr>
          <w:p w14:paraId="02A111D5" w14:textId="77777777" w:rsidR="00F65DFC" w:rsidRDefault="00F65DFC" w:rsidP="007A4637">
            <w:pPr>
              <w:pStyle w:val="TableParagraph"/>
              <w:rPr>
                <w:rFonts w:ascii="Times New Roman"/>
                <w:sz w:val="12"/>
              </w:rPr>
            </w:pPr>
          </w:p>
        </w:tc>
        <w:tc>
          <w:tcPr>
            <w:tcW w:w="1805" w:type="dxa"/>
          </w:tcPr>
          <w:p w14:paraId="7835D704" w14:textId="77777777" w:rsidR="00F65DFC" w:rsidRDefault="00F65DFC" w:rsidP="007A4637">
            <w:pPr>
              <w:pStyle w:val="TableParagraph"/>
              <w:rPr>
                <w:rFonts w:ascii="Times New Roman"/>
                <w:sz w:val="12"/>
              </w:rPr>
            </w:pPr>
          </w:p>
        </w:tc>
        <w:tc>
          <w:tcPr>
            <w:tcW w:w="1490" w:type="dxa"/>
          </w:tcPr>
          <w:p w14:paraId="4486AEF7" w14:textId="77777777" w:rsidR="00F65DFC" w:rsidRDefault="00F65DFC" w:rsidP="007A4637">
            <w:pPr>
              <w:pStyle w:val="TableParagraph"/>
              <w:rPr>
                <w:rFonts w:ascii="Times New Roman"/>
                <w:sz w:val="12"/>
              </w:rPr>
            </w:pPr>
          </w:p>
        </w:tc>
      </w:tr>
      <w:tr w:rsidR="00F65DFC" w14:paraId="098AAA8C" w14:textId="77777777" w:rsidTr="007A4637">
        <w:trPr>
          <w:trHeight w:val="179"/>
        </w:trPr>
        <w:tc>
          <w:tcPr>
            <w:tcW w:w="845" w:type="dxa"/>
          </w:tcPr>
          <w:p w14:paraId="6EDB7562" w14:textId="77777777" w:rsidR="00F65DFC" w:rsidRDefault="00F65DFC" w:rsidP="007A4637">
            <w:pPr>
              <w:pStyle w:val="TableParagraph"/>
              <w:spacing w:line="159" w:lineRule="exact"/>
              <w:rPr>
                <w:sz w:val="16"/>
              </w:rPr>
            </w:pPr>
            <w:r>
              <w:rPr>
                <w:w w:val="95"/>
                <w:sz w:val="16"/>
              </w:rPr>
              <w:t>23</w:t>
            </w:r>
          </w:p>
        </w:tc>
        <w:tc>
          <w:tcPr>
            <w:tcW w:w="1393" w:type="dxa"/>
          </w:tcPr>
          <w:p w14:paraId="74332FE7" w14:textId="77777777" w:rsidR="00F65DFC" w:rsidRDefault="00F65DFC" w:rsidP="007A4637">
            <w:pPr>
              <w:pStyle w:val="TableParagraph"/>
              <w:spacing w:line="159" w:lineRule="exact"/>
              <w:ind w:right="607"/>
              <w:jc w:val="right"/>
              <w:rPr>
                <w:sz w:val="16"/>
              </w:rPr>
            </w:pPr>
            <w:r>
              <w:rPr>
                <w:w w:val="95"/>
                <w:sz w:val="16"/>
              </w:rPr>
              <w:t>0.62</w:t>
            </w:r>
          </w:p>
        </w:tc>
        <w:tc>
          <w:tcPr>
            <w:tcW w:w="1379" w:type="dxa"/>
          </w:tcPr>
          <w:p w14:paraId="6AC1A222" w14:textId="77777777" w:rsidR="00F65DFC" w:rsidRDefault="00F65DFC" w:rsidP="007A4637">
            <w:pPr>
              <w:pStyle w:val="TableParagraph"/>
              <w:rPr>
                <w:rFonts w:ascii="Times New Roman"/>
                <w:sz w:val="12"/>
              </w:rPr>
            </w:pPr>
          </w:p>
        </w:tc>
        <w:tc>
          <w:tcPr>
            <w:tcW w:w="1805" w:type="dxa"/>
          </w:tcPr>
          <w:p w14:paraId="2175DDE0" w14:textId="77777777" w:rsidR="00F65DFC" w:rsidRDefault="00F65DFC" w:rsidP="007A4637">
            <w:pPr>
              <w:pStyle w:val="TableParagraph"/>
              <w:rPr>
                <w:rFonts w:ascii="Times New Roman"/>
                <w:sz w:val="12"/>
              </w:rPr>
            </w:pPr>
          </w:p>
        </w:tc>
        <w:tc>
          <w:tcPr>
            <w:tcW w:w="1490" w:type="dxa"/>
          </w:tcPr>
          <w:p w14:paraId="41CDA6F4" w14:textId="77777777" w:rsidR="00F65DFC" w:rsidRDefault="00F65DFC" w:rsidP="007A4637">
            <w:pPr>
              <w:pStyle w:val="TableParagraph"/>
              <w:rPr>
                <w:rFonts w:ascii="Times New Roman"/>
                <w:sz w:val="12"/>
              </w:rPr>
            </w:pPr>
          </w:p>
        </w:tc>
      </w:tr>
      <w:tr w:rsidR="00F65DFC" w14:paraId="3F165F87" w14:textId="77777777" w:rsidTr="007A4637">
        <w:trPr>
          <w:trHeight w:val="179"/>
        </w:trPr>
        <w:tc>
          <w:tcPr>
            <w:tcW w:w="845" w:type="dxa"/>
          </w:tcPr>
          <w:p w14:paraId="27BD7069" w14:textId="77777777" w:rsidR="00F65DFC" w:rsidRDefault="00F65DFC" w:rsidP="007A4637">
            <w:pPr>
              <w:pStyle w:val="TableParagraph"/>
              <w:spacing w:line="159" w:lineRule="exact"/>
              <w:rPr>
                <w:sz w:val="16"/>
              </w:rPr>
            </w:pPr>
            <w:r>
              <w:rPr>
                <w:w w:val="95"/>
                <w:sz w:val="16"/>
              </w:rPr>
              <w:t>22</w:t>
            </w:r>
          </w:p>
        </w:tc>
        <w:tc>
          <w:tcPr>
            <w:tcW w:w="1393" w:type="dxa"/>
          </w:tcPr>
          <w:p w14:paraId="298E44C9" w14:textId="77777777" w:rsidR="00F65DFC" w:rsidRDefault="00F65DFC" w:rsidP="007A4637">
            <w:pPr>
              <w:pStyle w:val="TableParagraph"/>
              <w:spacing w:line="159" w:lineRule="exact"/>
              <w:ind w:right="607"/>
              <w:jc w:val="right"/>
              <w:rPr>
                <w:sz w:val="16"/>
              </w:rPr>
            </w:pPr>
            <w:r>
              <w:rPr>
                <w:w w:val="95"/>
                <w:sz w:val="16"/>
              </w:rPr>
              <w:t>0.57</w:t>
            </w:r>
          </w:p>
        </w:tc>
        <w:tc>
          <w:tcPr>
            <w:tcW w:w="1379" w:type="dxa"/>
          </w:tcPr>
          <w:p w14:paraId="51F1A84A" w14:textId="77777777" w:rsidR="00F65DFC" w:rsidRDefault="00F65DFC" w:rsidP="007A4637">
            <w:pPr>
              <w:pStyle w:val="TableParagraph"/>
              <w:rPr>
                <w:rFonts w:ascii="Times New Roman"/>
                <w:sz w:val="12"/>
              </w:rPr>
            </w:pPr>
          </w:p>
        </w:tc>
        <w:tc>
          <w:tcPr>
            <w:tcW w:w="1805" w:type="dxa"/>
          </w:tcPr>
          <w:p w14:paraId="3ED1ED7C" w14:textId="77777777" w:rsidR="00F65DFC" w:rsidRDefault="00F65DFC" w:rsidP="007A4637">
            <w:pPr>
              <w:pStyle w:val="TableParagraph"/>
              <w:rPr>
                <w:rFonts w:ascii="Times New Roman"/>
                <w:sz w:val="12"/>
              </w:rPr>
            </w:pPr>
          </w:p>
        </w:tc>
        <w:tc>
          <w:tcPr>
            <w:tcW w:w="1490" w:type="dxa"/>
          </w:tcPr>
          <w:p w14:paraId="16907648" w14:textId="77777777" w:rsidR="00F65DFC" w:rsidRDefault="00F65DFC" w:rsidP="007A4637">
            <w:pPr>
              <w:pStyle w:val="TableParagraph"/>
              <w:rPr>
                <w:rFonts w:ascii="Times New Roman"/>
                <w:sz w:val="12"/>
              </w:rPr>
            </w:pPr>
          </w:p>
        </w:tc>
      </w:tr>
      <w:tr w:rsidR="00F65DFC" w14:paraId="32D6A340" w14:textId="77777777" w:rsidTr="007A4637">
        <w:trPr>
          <w:trHeight w:val="179"/>
        </w:trPr>
        <w:tc>
          <w:tcPr>
            <w:tcW w:w="845" w:type="dxa"/>
          </w:tcPr>
          <w:p w14:paraId="585BA0CC" w14:textId="77777777" w:rsidR="00F65DFC" w:rsidRDefault="00F65DFC" w:rsidP="007A4637">
            <w:pPr>
              <w:pStyle w:val="TableParagraph"/>
              <w:spacing w:line="160" w:lineRule="exact"/>
              <w:rPr>
                <w:sz w:val="16"/>
              </w:rPr>
            </w:pPr>
            <w:r>
              <w:rPr>
                <w:w w:val="95"/>
                <w:sz w:val="16"/>
              </w:rPr>
              <w:t>21</w:t>
            </w:r>
          </w:p>
        </w:tc>
        <w:tc>
          <w:tcPr>
            <w:tcW w:w="1393" w:type="dxa"/>
          </w:tcPr>
          <w:p w14:paraId="4E349B62" w14:textId="77777777" w:rsidR="00F65DFC" w:rsidRDefault="00F65DFC" w:rsidP="007A4637">
            <w:pPr>
              <w:pStyle w:val="TableParagraph"/>
              <w:spacing w:line="160" w:lineRule="exact"/>
              <w:ind w:right="607"/>
              <w:jc w:val="right"/>
              <w:rPr>
                <w:sz w:val="16"/>
              </w:rPr>
            </w:pPr>
            <w:r>
              <w:rPr>
                <w:w w:val="95"/>
                <w:sz w:val="16"/>
              </w:rPr>
              <w:t>0.55</w:t>
            </w:r>
          </w:p>
        </w:tc>
        <w:tc>
          <w:tcPr>
            <w:tcW w:w="1379" w:type="dxa"/>
          </w:tcPr>
          <w:p w14:paraId="5339E04F" w14:textId="77777777" w:rsidR="00F65DFC" w:rsidRDefault="00F65DFC" w:rsidP="007A4637">
            <w:pPr>
              <w:pStyle w:val="TableParagraph"/>
              <w:rPr>
                <w:rFonts w:ascii="Times New Roman"/>
                <w:sz w:val="12"/>
              </w:rPr>
            </w:pPr>
          </w:p>
        </w:tc>
        <w:tc>
          <w:tcPr>
            <w:tcW w:w="1805" w:type="dxa"/>
          </w:tcPr>
          <w:p w14:paraId="6E5F0B24" w14:textId="77777777" w:rsidR="00F65DFC" w:rsidRDefault="00F65DFC" w:rsidP="007A4637">
            <w:pPr>
              <w:pStyle w:val="TableParagraph"/>
              <w:rPr>
                <w:rFonts w:ascii="Times New Roman"/>
                <w:sz w:val="12"/>
              </w:rPr>
            </w:pPr>
          </w:p>
        </w:tc>
        <w:tc>
          <w:tcPr>
            <w:tcW w:w="1490" w:type="dxa"/>
          </w:tcPr>
          <w:p w14:paraId="4F3B591E" w14:textId="77777777" w:rsidR="00F65DFC" w:rsidRDefault="00F65DFC" w:rsidP="007A4637">
            <w:pPr>
              <w:pStyle w:val="TableParagraph"/>
              <w:rPr>
                <w:rFonts w:ascii="Times New Roman"/>
                <w:sz w:val="12"/>
              </w:rPr>
            </w:pPr>
          </w:p>
        </w:tc>
      </w:tr>
      <w:tr w:rsidR="00F65DFC" w14:paraId="2317CA49" w14:textId="77777777" w:rsidTr="007A4637">
        <w:trPr>
          <w:trHeight w:val="179"/>
        </w:trPr>
        <w:tc>
          <w:tcPr>
            <w:tcW w:w="845" w:type="dxa"/>
          </w:tcPr>
          <w:p w14:paraId="6F418F6F" w14:textId="77777777" w:rsidR="00F65DFC" w:rsidRDefault="00F65DFC" w:rsidP="007A4637">
            <w:pPr>
              <w:pStyle w:val="TableParagraph"/>
              <w:spacing w:line="160" w:lineRule="exact"/>
              <w:rPr>
                <w:sz w:val="16"/>
              </w:rPr>
            </w:pPr>
            <w:r>
              <w:rPr>
                <w:w w:val="84"/>
                <w:sz w:val="16"/>
              </w:rPr>
              <w:t>2</w:t>
            </w:r>
          </w:p>
        </w:tc>
        <w:tc>
          <w:tcPr>
            <w:tcW w:w="1393" w:type="dxa"/>
          </w:tcPr>
          <w:p w14:paraId="41289693" w14:textId="77777777" w:rsidR="00F65DFC" w:rsidRDefault="00F65DFC" w:rsidP="007A4637">
            <w:pPr>
              <w:pStyle w:val="TableParagraph"/>
              <w:spacing w:line="160" w:lineRule="exact"/>
              <w:ind w:right="607"/>
              <w:jc w:val="right"/>
              <w:rPr>
                <w:sz w:val="16"/>
              </w:rPr>
            </w:pPr>
            <w:r>
              <w:rPr>
                <w:w w:val="95"/>
                <w:sz w:val="16"/>
              </w:rPr>
              <w:t>0.49</w:t>
            </w:r>
          </w:p>
        </w:tc>
        <w:tc>
          <w:tcPr>
            <w:tcW w:w="1379" w:type="dxa"/>
          </w:tcPr>
          <w:p w14:paraId="4D256BFB" w14:textId="77777777" w:rsidR="00F65DFC" w:rsidRDefault="00F65DFC" w:rsidP="007A4637">
            <w:pPr>
              <w:pStyle w:val="TableParagraph"/>
              <w:rPr>
                <w:rFonts w:ascii="Times New Roman"/>
                <w:sz w:val="12"/>
              </w:rPr>
            </w:pPr>
          </w:p>
        </w:tc>
        <w:tc>
          <w:tcPr>
            <w:tcW w:w="1805" w:type="dxa"/>
          </w:tcPr>
          <w:p w14:paraId="2FAC4936" w14:textId="77777777" w:rsidR="00F65DFC" w:rsidRDefault="00F65DFC" w:rsidP="007A4637">
            <w:pPr>
              <w:pStyle w:val="TableParagraph"/>
              <w:rPr>
                <w:rFonts w:ascii="Times New Roman"/>
                <w:sz w:val="12"/>
              </w:rPr>
            </w:pPr>
          </w:p>
        </w:tc>
        <w:tc>
          <w:tcPr>
            <w:tcW w:w="1490" w:type="dxa"/>
          </w:tcPr>
          <w:p w14:paraId="7F816BF6" w14:textId="77777777" w:rsidR="00F65DFC" w:rsidRDefault="00F65DFC" w:rsidP="007A4637">
            <w:pPr>
              <w:pStyle w:val="TableParagraph"/>
              <w:rPr>
                <w:rFonts w:ascii="Times New Roman"/>
                <w:sz w:val="12"/>
              </w:rPr>
            </w:pPr>
          </w:p>
        </w:tc>
      </w:tr>
      <w:tr w:rsidR="00F65DFC" w14:paraId="3ED6F495" w14:textId="77777777" w:rsidTr="007A4637">
        <w:trPr>
          <w:trHeight w:val="179"/>
        </w:trPr>
        <w:tc>
          <w:tcPr>
            <w:tcW w:w="845" w:type="dxa"/>
          </w:tcPr>
          <w:p w14:paraId="62B80731" w14:textId="77777777" w:rsidR="00F65DFC" w:rsidRDefault="00F65DFC" w:rsidP="007A4637">
            <w:pPr>
              <w:pStyle w:val="TableParagraph"/>
              <w:spacing w:line="159" w:lineRule="exact"/>
              <w:rPr>
                <w:sz w:val="16"/>
              </w:rPr>
            </w:pPr>
            <w:r>
              <w:rPr>
                <w:w w:val="84"/>
                <w:sz w:val="16"/>
              </w:rPr>
              <w:t>1</w:t>
            </w:r>
          </w:p>
        </w:tc>
        <w:tc>
          <w:tcPr>
            <w:tcW w:w="1393" w:type="dxa"/>
          </w:tcPr>
          <w:p w14:paraId="48F8D73D" w14:textId="77777777" w:rsidR="00F65DFC" w:rsidRDefault="00F65DFC" w:rsidP="007A4637">
            <w:pPr>
              <w:pStyle w:val="TableParagraph"/>
              <w:spacing w:line="159" w:lineRule="exact"/>
              <w:ind w:right="607"/>
              <w:jc w:val="right"/>
              <w:rPr>
                <w:sz w:val="16"/>
              </w:rPr>
            </w:pPr>
            <w:r>
              <w:rPr>
                <w:w w:val="95"/>
                <w:sz w:val="16"/>
              </w:rPr>
              <w:t>0.45</w:t>
            </w:r>
          </w:p>
        </w:tc>
        <w:tc>
          <w:tcPr>
            <w:tcW w:w="1379" w:type="dxa"/>
          </w:tcPr>
          <w:p w14:paraId="0D662358" w14:textId="77777777" w:rsidR="00F65DFC" w:rsidRDefault="00F65DFC" w:rsidP="007A4637">
            <w:pPr>
              <w:pStyle w:val="TableParagraph"/>
              <w:rPr>
                <w:rFonts w:ascii="Times New Roman"/>
                <w:sz w:val="12"/>
              </w:rPr>
            </w:pPr>
          </w:p>
        </w:tc>
        <w:tc>
          <w:tcPr>
            <w:tcW w:w="1805" w:type="dxa"/>
          </w:tcPr>
          <w:p w14:paraId="226694D4" w14:textId="77777777" w:rsidR="00F65DFC" w:rsidRDefault="00F65DFC" w:rsidP="007A4637">
            <w:pPr>
              <w:pStyle w:val="TableParagraph"/>
              <w:rPr>
                <w:rFonts w:ascii="Times New Roman"/>
                <w:sz w:val="12"/>
              </w:rPr>
            </w:pPr>
          </w:p>
        </w:tc>
        <w:tc>
          <w:tcPr>
            <w:tcW w:w="1490" w:type="dxa"/>
          </w:tcPr>
          <w:p w14:paraId="546842C9" w14:textId="77777777" w:rsidR="00F65DFC" w:rsidRDefault="00F65DFC" w:rsidP="007A4637">
            <w:pPr>
              <w:pStyle w:val="TableParagraph"/>
              <w:rPr>
                <w:rFonts w:ascii="Times New Roman"/>
                <w:sz w:val="12"/>
              </w:rPr>
            </w:pPr>
          </w:p>
        </w:tc>
      </w:tr>
      <w:tr w:rsidR="00F65DFC" w14:paraId="7F4CC35B" w14:textId="77777777" w:rsidTr="007A4637">
        <w:trPr>
          <w:trHeight w:val="179"/>
        </w:trPr>
        <w:tc>
          <w:tcPr>
            <w:tcW w:w="845" w:type="dxa"/>
          </w:tcPr>
          <w:p w14:paraId="5771D09E" w14:textId="77777777" w:rsidR="00F65DFC" w:rsidRDefault="00F65DFC" w:rsidP="007A4637">
            <w:pPr>
              <w:pStyle w:val="TableParagraph"/>
              <w:spacing w:line="159" w:lineRule="exact"/>
              <w:rPr>
                <w:sz w:val="16"/>
              </w:rPr>
            </w:pPr>
            <w:r>
              <w:rPr>
                <w:w w:val="95"/>
                <w:sz w:val="16"/>
              </w:rPr>
              <w:t>10</w:t>
            </w:r>
          </w:p>
        </w:tc>
        <w:tc>
          <w:tcPr>
            <w:tcW w:w="1393" w:type="dxa"/>
          </w:tcPr>
          <w:p w14:paraId="445D2B18" w14:textId="77777777" w:rsidR="00F65DFC" w:rsidRDefault="00F65DFC" w:rsidP="007A4637">
            <w:pPr>
              <w:pStyle w:val="TableParagraph"/>
              <w:spacing w:line="159" w:lineRule="exact"/>
              <w:ind w:right="607"/>
              <w:jc w:val="right"/>
              <w:rPr>
                <w:sz w:val="16"/>
              </w:rPr>
            </w:pPr>
            <w:r>
              <w:rPr>
                <w:w w:val="95"/>
                <w:sz w:val="16"/>
              </w:rPr>
              <w:t>0.42</w:t>
            </w:r>
          </w:p>
        </w:tc>
        <w:tc>
          <w:tcPr>
            <w:tcW w:w="1379" w:type="dxa"/>
          </w:tcPr>
          <w:p w14:paraId="454B0E90" w14:textId="77777777" w:rsidR="00F65DFC" w:rsidRDefault="00F65DFC" w:rsidP="007A4637">
            <w:pPr>
              <w:pStyle w:val="TableParagraph"/>
              <w:rPr>
                <w:rFonts w:ascii="Times New Roman"/>
                <w:sz w:val="12"/>
              </w:rPr>
            </w:pPr>
          </w:p>
        </w:tc>
        <w:tc>
          <w:tcPr>
            <w:tcW w:w="1805" w:type="dxa"/>
          </w:tcPr>
          <w:p w14:paraId="6B7A71CB" w14:textId="77777777" w:rsidR="00F65DFC" w:rsidRDefault="00F65DFC" w:rsidP="007A4637">
            <w:pPr>
              <w:pStyle w:val="TableParagraph"/>
              <w:rPr>
                <w:rFonts w:ascii="Times New Roman"/>
                <w:sz w:val="12"/>
              </w:rPr>
            </w:pPr>
          </w:p>
        </w:tc>
        <w:tc>
          <w:tcPr>
            <w:tcW w:w="1490" w:type="dxa"/>
          </w:tcPr>
          <w:p w14:paraId="536C5D86" w14:textId="77777777" w:rsidR="00F65DFC" w:rsidRDefault="00F65DFC" w:rsidP="007A4637">
            <w:pPr>
              <w:pStyle w:val="TableParagraph"/>
              <w:rPr>
                <w:rFonts w:ascii="Times New Roman"/>
                <w:sz w:val="12"/>
              </w:rPr>
            </w:pPr>
          </w:p>
        </w:tc>
      </w:tr>
      <w:tr w:rsidR="00F65DFC" w14:paraId="3C0C68DA" w14:textId="77777777" w:rsidTr="007A4637">
        <w:trPr>
          <w:trHeight w:val="179"/>
        </w:trPr>
        <w:tc>
          <w:tcPr>
            <w:tcW w:w="845" w:type="dxa"/>
          </w:tcPr>
          <w:p w14:paraId="3EEF668E" w14:textId="77777777" w:rsidR="00F65DFC" w:rsidRDefault="00F65DFC" w:rsidP="007A4637">
            <w:pPr>
              <w:pStyle w:val="TableParagraph"/>
              <w:spacing w:line="159" w:lineRule="exact"/>
              <w:rPr>
                <w:sz w:val="16"/>
              </w:rPr>
            </w:pPr>
            <w:r>
              <w:rPr>
                <w:w w:val="95"/>
                <w:sz w:val="16"/>
              </w:rPr>
              <w:t>19</w:t>
            </w:r>
          </w:p>
        </w:tc>
        <w:tc>
          <w:tcPr>
            <w:tcW w:w="1393" w:type="dxa"/>
          </w:tcPr>
          <w:p w14:paraId="013E3007" w14:textId="77777777" w:rsidR="00F65DFC" w:rsidRDefault="00F65DFC" w:rsidP="007A4637">
            <w:pPr>
              <w:pStyle w:val="TableParagraph"/>
              <w:rPr>
                <w:rFonts w:ascii="Times New Roman"/>
                <w:sz w:val="12"/>
              </w:rPr>
            </w:pPr>
          </w:p>
        </w:tc>
        <w:tc>
          <w:tcPr>
            <w:tcW w:w="1379" w:type="dxa"/>
          </w:tcPr>
          <w:p w14:paraId="49C5393C" w14:textId="77777777" w:rsidR="00F65DFC" w:rsidRDefault="00F65DFC" w:rsidP="007A4637">
            <w:pPr>
              <w:pStyle w:val="TableParagraph"/>
              <w:spacing w:line="159" w:lineRule="exact"/>
              <w:ind w:left="525"/>
              <w:rPr>
                <w:sz w:val="16"/>
              </w:rPr>
            </w:pPr>
            <w:r>
              <w:rPr>
                <w:w w:val="95"/>
                <w:sz w:val="16"/>
              </w:rPr>
              <w:t>0.71</w:t>
            </w:r>
          </w:p>
        </w:tc>
        <w:tc>
          <w:tcPr>
            <w:tcW w:w="1805" w:type="dxa"/>
          </w:tcPr>
          <w:p w14:paraId="2E319195" w14:textId="77777777" w:rsidR="00F65DFC" w:rsidRDefault="00F65DFC" w:rsidP="007A4637">
            <w:pPr>
              <w:pStyle w:val="TableParagraph"/>
              <w:rPr>
                <w:rFonts w:ascii="Times New Roman"/>
                <w:sz w:val="12"/>
              </w:rPr>
            </w:pPr>
          </w:p>
        </w:tc>
        <w:tc>
          <w:tcPr>
            <w:tcW w:w="1490" w:type="dxa"/>
          </w:tcPr>
          <w:p w14:paraId="3EAADDD1" w14:textId="77777777" w:rsidR="00F65DFC" w:rsidRDefault="00F65DFC" w:rsidP="007A4637">
            <w:pPr>
              <w:pStyle w:val="TableParagraph"/>
              <w:rPr>
                <w:rFonts w:ascii="Times New Roman"/>
                <w:sz w:val="12"/>
              </w:rPr>
            </w:pPr>
          </w:p>
        </w:tc>
      </w:tr>
      <w:tr w:rsidR="00F65DFC" w14:paraId="0FDA56D5" w14:textId="77777777" w:rsidTr="007A4637">
        <w:trPr>
          <w:trHeight w:val="179"/>
        </w:trPr>
        <w:tc>
          <w:tcPr>
            <w:tcW w:w="845" w:type="dxa"/>
          </w:tcPr>
          <w:p w14:paraId="431F4970" w14:textId="77777777" w:rsidR="00F65DFC" w:rsidRDefault="00F65DFC" w:rsidP="007A4637">
            <w:pPr>
              <w:pStyle w:val="TableParagraph"/>
              <w:spacing w:line="159" w:lineRule="exact"/>
              <w:rPr>
                <w:sz w:val="16"/>
              </w:rPr>
            </w:pPr>
            <w:r>
              <w:rPr>
                <w:w w:val="95"/>
                <w:sz w:val="16"/>
              </w:rPr>
              <w:t>18</w:t>
            </w:r>
          </w:p>
        </w:tc>
        <w:tc>
          <w:tcPr>
            <w:tcW w:w="1393" w:type="dxa"/>
          </w:tcPr>
          <w:p w14:paraId="22512A27" w14:textId="77777777" w:rsidR="00F65DFC" w:rsidRDefault="00F65DFC" w:rsidP="007A4637">
            <w:pPr>
              <w:pStyle w:val="TableParagraph"/>
              <w:rPr>
                <w:rFonts w:ascii="Times New Roman"/>
                <w:sz w:val="12"/>
              </w:rPr>
            </w:pPr>
          </w:p>
        </w:tc>
        <w:tc>
          <w:tcPr>
            <w:tcW w:w="1379" w:type="dxa"/>
          </w:tcPr>
          <w:p w14:paraId="1ECAD331" w14:textId="77777777" w:rsidR="00F65DFC" w:rsidRDefault="00F65DFC" w:rsidP="007A4637">
            <w:pPr>
              <w:pStyle w:val="TableParagraph"/>
              <w:spacing w:line="159" w:lineRule="exact"/>
              <w:ind w:left="525"/>
              <w:rPr>
                <w:sz w:val="16"/>
              </w:rPr>
            </w:pPr>
            <w:r>
              <w:rPr>
                <w:w w:val="95"/>
                <w:sz w:val="16"/>
              </w:rPr>
              <w:t>0.71</w:t>
            </w:r>
          </w:p>
        </w:tc>
        <w:tc>
          <w:tcPr>
            <w:tcW w:w="1805" w:type="dxa"/>
          </w:tcPr>
          <w:p w14:paraId="6614BB0B" w14:textId="77777777" w:rsidR="00F65DFC" w:rsidRDefault="00F65DFC" w:rsidP="007A4637">
            <w:pPr>
              <w:pStyle w:val="TableParagraph"/>
              <w:rPr>
                <w:rFonts w:ascii="Times New Roman"/>
                <w:sz w:val="12"/>
              </w:rPr>
            </w:pPr>
          </w:p>
        </w:tc>
        <w:tc>
          <w:tcPr>
            <w:tcW w:w="1490" w:type="dxa"/>
          </w:tcPr>
          <w:p w14:paraId="44587055" w14:textId="77777777" w:rsidR="00F65DFC" w:rsidRDefault="00F65DFC" w:rsidP="007A4637">
            <w:pPr>
              <w:pStyle w:val="TableParagraph"/>
              <w:rPr>
                <w:rFonts w:ascii="Times New Roman"/>
                <w:sz w:val="12"/>
              </w:rPr>
            </w:pPr>
          </w:p>
        </w:tc>
      </w:tr>
      <w:tr w:rsidR="00F65DFC" w14:paraId="4D9ED16C" w14:textId="77777777" w:rsidTr="007A4637">
        <w:trPr>
          <w:trHeight w:val="179"/>
        </w:trPr>
        <w:tc>
          <w:tcPr>
            <w:tcW w:w="845" w:type="dxa"/>
          </w:tcPr>
          <w:p w14:paraId="4641D6B6" w14:textId="77777777" w:rsidR="00F65DFC" w:rsidRDefault="00F65DFC" w:rsidP="007A4637">
            <w:pPr>
              <w:pStyle w:val="TableParagraph"/>
              <w:spacing w:line="160" w:lineRule="exact"/>
              <w:rPr>
                <w:sz w:val="16"/>
              </w:rPr>
            </w:pPr>
            <w:r>
              <w:rPr>
                <w:w w:val="95"/>
                <w:sz w:val="16"/>
              </w:rPr>
              <w:t>17</w:t>
            </w:r>
          </w:p>
        </w:tc>
        <w:tc>
          <w:tcPr>
            <w:tcW w:w="1393" w:type="dxa"/>
          </w:tcPr>
          <w:p w14:paraId="66D6D9D5" w14:textId="77777777" w:rsidR="00F65DFC" w:rsidRDefault="00F65DFC" w:rsidP="007A4637">
            <w:pPr>
              <w:pStyle w:val="TableParagraph"/>
              <w:rPr>
                <w:rFonts w:ascii="Times New Roman"/>
                <w:sz w:val="12"/>
              </w:rPr>
            </w:pPr>
          </w:p>
        </w:tc>
        <w:tc>
          <w:tcPr>
            <w:tcW w:w="1379" w:type="dxa"/>
          </w:tcPr>
          <w:p w14:paraId="5B6FB8CA" w14:textId="77777777" w:rsidR="00F65DFC" w:rsidRDefault="00F65DFC" w:rsidP="007A4637">
            <w:pPr>
              <w:pStyle w:val="TableParagraph"/>
              <w:spacing w:line="160" w:lineRule="exact"/>
              <w:ind w:left="525"/>
              <w:rPr>
                <w:sz w:val="16"/>
              </w:rPr>
            </w:pPr>
            <w:r>
              <w:rPr>
                <w:w w:val="95"/>
                <w:sz w:val="16"/>
              </w:rPr>
              <w:t>0.58</w:t>
            </w:r>
          </w:p>
        </w:tc>
        <w:tc>
          <w:tcPr>
            <w:tcW w:w="1805" w:type="dxa"/>
          </w:tcPr>
          <w:p w14:paraId="6810F340" w14:textId="77777777" w:rsidR="00F65DFC" w:rsidRDefault="00F65DFC" w:rsidP="007A4637">
            <w:pPr>
              <w:pStyle w:val="TableParagraph"/>
              <w:rPr>
                <w:rFonts w:ascii="Times New Roman"/>
                <w:sz w:val="12"/>
              </w:rPr>
            </w:pPr>
          </w:p>
        </w:tc>
        <w:tc>
          <w:tcPr>
            <w:tcW w:w="1490" w:type="dxa"/>
          </w:tcPr>
          <w:p w14:paraId="6D50BE3B" w14:textId="77777777" w:rsidR="00F65DFC" w:rsidRDefault="00F65DFC" w:rsidP="007A4637">
            <w:pPr>
              <w:pStyle w:val="TableParagraph"/>
              <w:rPr>
                <w:rFonts w:ascii="Times New Roman"/>
                <w:sz w:val="12"/>
              </w:rPr>
            </w:pPr>
          </w:p>
        </w:tc>
      </w:tr>
      <w:tr w:rsidR="00F65DFC" w14:paraId="7FE3C40F" w14:textId="77777777" w:rsidTr="007A4637">
        <w:trPr>
          <w:trHeight w:val="179"/>
        </w:trPr>
        <w:tc>
          <w:tcPr>
            <w:tcW w:w="845" w:type="dxa"/>
          </w:tcPr>
          <w:p w14:paraId="60D4FCF7" w14:textId="77777777" w:rsidR="00F65DFC" w:rsidRDefault="00F65DFC" w:rsidP="007A4637">
            <w:pPr>
              <w:pStyle w:val="TableParagraph"/>
              <w:spacing w:line="160" w:lineRule="exact"/>
              <w:rPr>
                <w:sz w:val="16"/>
              </w:rPr>
            </w:pPr>
            <w:r>
              <w:rPr>
                <w:w w:val="95"/>
                <w:sz w:val="16"/>
              </w:rPr>
              <w:t>16</w:t>
            </w:r>
          </w:p>
        </w:tc>
        <w:tc>
          <w:tcPr>
            <w:tcW w:w="1393" w:type="dxa"/>
          </w:tcPr>
          <w:p w14:paraId="65F97CAD" w14:textId="77777777" w:rsidR="00F65DFC" w:rsidRDefault="00F65DFC" w:rsidP="007A4637">
            <w:pPr>
              <w:pStyle w:val="TableParagraph"/>
              <w:rPr>
                <w:rFonts w:ascii="Times New Roman"/>
                <w:sz w:val="12"/>
              </w:rPr>
            </w:pPr>
          </w:p>
        </w:tc>
        <w:tc>
          <w:tcPr>
            <w:tcW w:w="1379" w:type="dxa"/>
          </w:tcPr>
          <w:p w14:paraId="2F30D6BC" w14:textId="77777777" w:rsidR="00F65DFC" w:rsidRDefault="00F65DFC" w:rsidP="007A4637">
            <w:pPr>
              <w:pStyle w:val="TableParagraph"/>
              <w:spacing w:line="160" w:lineRule="exact"/>
              <w:ind w:left="525"/>
              <w:rPr>
                <w:sz w:val="16"/>
              </w:rPr>
            </w:pPr>
            <w:r>
              <w:rPr>
                <w:w w:val="95"/>
                <w:sz w:val="16"/>
              </w:rPr>
              <w:t>0.53</w:t>
            </w:r>
          </w:p>
        </w:tc>
        <w:tc>
          <w:tcPr>
            <w:tcW w:w="1805" w:type="dxa"/>
          </w:tcPr>
          <w:p w14:paraId="7FAAB49F" w14:textId="77777777" w:rsidR="00F65DFC" w:rsidRDefault="00F65DFC" w:rsidP="007A4637">
            <w:pPr>
              <w:pStyle w:val="TableParagraph"/>
              <w:rPr>
                <w:rFonts w:ascii="Times New Roman"/>
                <w:sz w:val="12"/>
              </w:rPr>
            </w:pPr>
          </w:p>
        </w:tc>
        <w:tc>
          <w:tcPr>
            <w:tcW w:w="1490" w:type="dxa"/>
          </w:tcPr>
          <w:p w14:paraId="52E03F28" w14:textId="77777777" w:rsidR="00F65DFC" w:rsidRDefault="00F65DFC" w:rsidP="007A4637">
            <w:pPr>
              <w:pStyle w:val="TableParagraph"/>
              <w:rPr>
                <w:rFonts w:ascii="Times New Roman"/>
                <w:sz w:val="12"/>
              </w:rPr>
            </w:pPr>
          </w:p>
        </w:tc>
      </w:tr>
      <w:tr w:rsidR="00F65DFC" w14:paraId="6CDE18F5" w14:textId="77777777" w:rsidTr="007A4637">
        <w:trPr>
          <w:trHeight w:val="179"/>
        </w:trPr>
        <w:tc>
          <w:tcPr>
            <w:tcW w:w="845" w:type="dxa"/>
          </w:tcPr>
          <w:p w14:paraId="5FE56E2E" w14:textId="77777777" w:rsidR="00F65DFC" w:rsidRDefault="00F65DFC" w:rsidP="007A4637">
            <w:pPr>
              <w:pStyle w:val="TableParagraph"/>
              <w:spacing w:line="159" w:lineRule="exact"/>
              <w:rPr>
                <w:sz w:val="16"/>
              </w:rPr>
            </w:pPr>
            <w:r>
              <w:rPr>
                <w:w w:val="95"/>
                <w:sz w:val="16"/>
              </w:rPr>
              <w:t>15</w:t>
            </w:r>
          </w:p>
        </w:tc>
        <w:tc>
          <w:tcPr>
            <w:tcW w:w="1393" w:type="dxa"/>
          </w:tcPr>
          <w:p w14:paraId="7FC0C8ED" w14:textId="77777777" w:rsidR="00F65DFC" w:rsidRDefault="00F65DFC" w:rsidP="007A4637">
            <w:pPr>
              <w:pStyle w:val="TableParagraph"/>
              <w:rPr>
                <w:rFonts w:ascii="Times New Roman"/>
                <w:sz w:val="12"/>
              </w:rPr>
            </w:pPr>
          </w:p>
        </w:tc>
        <w:tc>
          <w:tcPr>
            <w:tcW w:w="1379" w:type="dxa"/>
          </w:tcPr>
          <w:p w14:paraId="21E933B8" w14:textId="77777777" w:rsidR="00F65DFC" w:rsidRDefault="00F65DFC" w:rsidP="007A4637">
            <w:pPr>
              <w:pStyle w:val="TableParagraph"/>
              <w:spacing w:line="159" w:lineRule="exact"/>
              <w:ind w:left="525"/>
              <w:rPr>
                <w:sz w:val="16"/>
              </w:rPr>
            </w:pPr>
            <w:r>
              <w:rPr>
                <w:w w:val="95"/>
                <w:sz w:val="16"/>
              </w:rPr>
              <w:t>0.48</w:t>
            </w:r>
          </w:p>
        </w:tc>
        <w:tc>
          <w:tcPr>
            <w:tcW w:w="1805" w:type="dxa"/>
          </w:tcPr>
          <w:p w14:paraId="0A71EAFF" w14:textId="77777777" w:rsidR="00F65DFC" w:rsidRDefault="00F65DFC" w:rsidP="007A4637">
            <w:pPr>
              <w:pStyle w:val="TableParagraph"/>
              <w:rPr>
                <w:rFonts w:ascii="Times New Roman"/>
                <w:sz w:val="12"/>
              </w:rPr>
            </w:pPr>
          </w:p>
        </w:tc>
        <w:tc>
          <w:tcPr>
            <w:tcW w:w="1490" w:type="dxa"/>
          </w:tcPr>
          <w:p w14:paraId="4F50E13F" w14:textId="77777777" w:rsidR="00F65DFC" w:rsidRDefault="00F65DFC" w:rsidP="007A4637">
            <w:pPr>
              <w:pStyle w:val="TableParagraph"/>
              <w:rPr>
                <w:rFonts w:ascii="Times New Roman"/>
                <w:sz w:val="12"/>
              </w:rPr>
            </w:pPr>
          </w:p>
        </w:tc>
      </w:tr>
      <w:tr w:rsidR="00F65DFC" w14:paraId="04126CCF" w14:textId="77777777" w:rsidTr="007A4637">
        <w:trPr>
          <w:trHeight w:val="179"/>
        </w:trPr>
        <w:tc>
          <w:tcPr>
            <w:tcW w:w="845" w:type="dxa"/>
          </w:tcPr>
          <w:p w14:paraId="1F705E80" w14:textId="77777777" w:rsidR="00F65DFC" w:rsidRDefault="00F65DFC" w:rsidP="007A4637">
            <w:pPr>
              <w:pStyle w:val="TableParagraph"/>
              <w:spacing w:line="159" w:lineRule="exact"/>
              <w:rPr>
                <w:sz w:val="16"/>
              </w:rPr>
            </w:pPr>
            <w:r>
              <w:rPr>
                <w:w w:val="95"/>
                <w:sz w:val="16"/>
              </w:rPr>
              <w:t>14</w:t>
            </w:r>
          </w:p>
        </w:tc>
        <w:tc>
          <w:tcPr>
            <w:tcW w:w="1393" w:type="dxa"/>
          </w:tcPr>
          <w:p w14:paraId="34E612C4" w14:textId="77777777" w:rsidR="00F65DFC" w:rsidRDefault="00F65DFC" w:rsidP="007A4637">
            <w:pPr>
              <w:pStyle w:val="TableParagraph"/>
              <w:rPr>
                <w:rFonts w:ascii="Times New Roman"/>
                <w:sz w:val="12"/>
              </w:rPr>
            </w:pPr>
          </w:p>
        </w:tc>
        <w:tc>
          <w:tcPr>
            <w:tcW w:w="1379" w:type="dxa"/>
          </w:tcPr>
          <w:p w14:paraId="796AC0DE" w14:textId="77777777" w:rsidR="00F65DFC" w:rsidRDefault="00F65DFC" w:rsidP="007A4637">
            <w:pPr>
              <w:pStyle w:val="TableParagraph"/>
              <w:spacing w:line="159" w:lineRule="exact"/>
              <w:ind w:left="525"/>
              <w:rPr>
                <w:sz w:val="16"/>
              </w:rPr>
            </w:pPr>
            <w:r>
              <w:rPr>
                <w:w w:val="95"/>
                <w:sz w:val="16"/>
              </w:rPr>
              <w:t>0.47</w:t>
            </w:r>
          </w:p>
        </w:tc>
        <w:tc>
          <w:tcPr>
            <w:tcW w:w="1805" w:type="dxa"/>
          </w:tcPr>
          <w:p w14:paraId="0F75F26C" w14:textId="77777777" w:rsidR="00F65DFC" w:rsidRDefault="00F65DFC" w:rsidP="007A4637">
            <w:pPr>
              <w:pStyle w:val="TableParagraph"/>
              <w:rPr>
                <w:rFonts w:ascii="Times New Roman"/>
                <w:sz w:val="12"/>
              </w:rPr>
            </w:pPr>
          </w:p>
        </w:tc>
        <w:tc>
          <w:tcPr>
            <w:tcW w:w="1490" w:type="dxa"/>
          </w:tcPr>
          <w:p w14:paraId="3AE1D0C2" w14:textId="77777777" w:rsidR="00F65DFC" w:rsidRDefault="00F65DFC" w:rsidP="007A4637">
            <w:pPr>
              <w:pStyle w:val="TableParagraph"/>
              <w:rPr>
                <w:rFonts w:ascii="Times New Roman"/>
                <w:sz w:val="12"/>
              </w:rPr>
            </w:pPr>
          </w:p>
        </w:tc>
      </w:tr>
      <w:tr w:rsidR="00F65DFC" w14:paraId="32F09C2F" w14:textId="77777777" w:rsidTr="007A4637">
        <w:trPr>
          <w:trHeight w:val="179"/>
        </w:trPr>
        <w:tc>
          <w:tcPr>
            <w:tcW w:w="845" w:type="dxa"/>
          </w:tcPr>
          <w:p w14:paraId="51E4FBDE" w14:textId="77777777" w:rsidR="00F65DFC" w:rsidRDefault="00F65DFC" w:rsidP="007A4637">
            <w:pPr>
              <w:pStyle w:val="TableParagraph"/>
              <w:spacing w:line="159" w:lineRule="exact"/>
              <w:rPr>
                <w:sz w:val="16"/>
              </w:rPr>
            </w:pPr>
            <w:r>
              <w:rPr>
                <w:w w:val="84"/>
                <w:sz w:val="16"/>
              </w:rPr>
              <w:t>7</w:t>
            </w:r>
          </w:p>
        </w:tc>
        <w:tc>
          <w:tcPr>
            <w:tcW w:w="1393" w:type="dxa"/>
          </w:tcPr>
          <w:p w14:paraId="589F561A" w14:textId="77777777" w:rsidR="00F65DFC" w:rsidRDefault="00F65DFC" w:rsidP="007A4637">
            <w:pPr>
              <w:pStyle w:val="TableParagraph"/>
              <w:rPr>
                <w:rFonts w:ascii="Times New Roman"/>
                <w:sz w:val="12"/>
              </w:rPr>
            </w:pPr>
          </w:p>
        </w:tc>
        <w:tc>
          <w:tcPr>
            <w:tcW w:w="1379" w:type="dxa"/>
          </w:tcPr>
          <w:p w14:paraId="73B71735" w14:textId="77777777" w:rsidR="00F65DFC" w:rsidRDefault="00F65DFC" w:rsidP="007A4637">
            <w:pPr>
              <w:pStyle w:val="TableParagraph"/>
              <w:rPr>
                <w:rFonts w:ascii="Times New Roman"/>
                <w:sz w:val="12"/>
              </w:rPr>
            </w:pPr>
          </w:p>
        </w:tc>
        <w:tc>
          <w:tcPr>
            <w:tcW w:w="1805" w:type="dxa"/>
          </w:tcPr>
          <w:p w14:paraId="52023E72" w14:textId="77777777" w:rsidR="00F65DFC" w:rsidRDefault="00F65DFC" w:rsidP="007A4637">
            <w:pPr>
              <w:pStyle w:val="TableParagraph"/>
              <w:spacing w:line="159" w:lineRule="exact"/>
              <w:ind w:right="695"/>
              <w:jc w:val="right"/>
              <w:rPr>
                <w:sz w:val="16"/>
              </w:rPr>
            </w:pPr>
            <w:r>
              <w:rPr>
                <w:w w:val="95"/>
                <w:sz w:val="16"/>
              </w:rPr>
              <w:t>0.60</w:t>
            </w:r>
          </w:p>
        </w:tc>
        <w:tc>
          <w:tcPr>
            <w:tcW w:w="1490" w:type="dxa"/>
          </w:tcPr>
          <w:p w14:paraId="3B226E5C" w14:textId="77777777" w:rsidR="00F65DFC" w:rsidRDefault="00F65DFC" w:rsidP="007A4637">
            <w:pPr>
              <w:pStyle w:val="TableParagraph"/>
              <w:rPr>
                <w:rFonts w:ascii="Times New Roman"/>
                <w:sz w:val="12"/>
              </w:rPr>
            </w:pPr>
          </w:p>
        </w:tc>
      </w:tr>
      <w:tr w:rsidR="00F65DFC" w14:paraId="65D0B5CF" w14:textId="77777777" w:rsidTr="007A4637">
        <w:trPr>
          <w:trHeight w:val="179"/>
        </w:trPr>
        <w:tc>
          <w:tcPr>
            <w:tcW w:w="845" w:type="dxa"/>
          </w:tcPr>
          <w:p w14:paraId="53A48BF8" w14:textId="77777777" w:rsidR="00F65DFC" w:rsidRDefault="00F65DFC" w:rsidP="007A4637">
            <w:pPr>
              <w:pStyle w:val="TableParagraph"/>
              <w:spacing w:line="159" w:lineRule="exact"/>
              <w:rPr>
                <w:sz w:val="16"/>
              </w:rPr>
            </w:pPr>
            <w:r>
              <w:rPr>
                <w:w w:val="84"/>
                <w:sz w:val="16"/>
              </w:rPr>
              <w:t>4</w:t>
            </w:r>
          </w:p>
        </w:tc>
        <w:tc>
          <w:tcPr>
            <w:tcW w:w="1393" w:type="dxa"/>
          </w:tcPr>
          <w:p w14:paraId="6A9A7B36" w14:textId="77777777" w:rsidR="00F65DFC" w:rsidRDefault="00F65DFC" w:rsidP="007A4637">
            <w:pPr>
              <w:pStyle w:val="TableParagraph"/>
              <w:rPr>
                <w:rFonts w:ascii="Times New Roman"/>
                <w:sz w:val="12"/>
              </w:rPr>
            </w:pPr>
          </w:p>
        </w:tc>
        <w:tc>
          <w:tcPr>
            <w:tcW w:w="1379" w:type="dxa"/>
          </w:tcPr>
          <w:p w14:paraId="4375C9D1" w14:textId="77777777" w:rsidR="00F65DFC" w:rsidRDefault="00F65DFC" w:rsidP="007A4637">
            <w:pPr>
              <w:pStyle w:val="TableParagraph"/>
              <w:rPr>
                <w:rFonts w:ascii="Times New Roman"/>
                <w:sz w:val="12"/>
              </w:rPr>
            </w:pPr>
          </w:p>
        </w:tc>
        <w:tc>
          <w:tcPr>
            <w:tcW w:w="1805" w:type="dxa"/>
          </w:tcPr>
          <w:p w14:paraId="18CC32CA" w14:textId="77777777" w:rsidR="00F65DFC" w:rsidRDefault="00F65DFC" w:rsidP="007A4637">
            <w:pPr>
              <w:pStyle w:val="TableParagraph"/>
              <w:spacing w:line="159" w:lineRule="exact"/>
              <w:ind w:right="695"/>
              <w:jc w:val="right"/>
              <w:rPr>
                <w:sz w:val="16"/>
              </w:rPr>
            </w:pPr>
            <w:r>
              <w:rPr>
                <w:w w:val="95"/>
                <w:sz w:val="16"/>
              </w:rPr>
              <w:t>0.51</w:t>
            </w:r>
          </w:p>
        </w:tc>
        <w:tc>
          <w:tcPr>
            <w:tcW w:w="1490" w:type="dxa"/>
          </w:tcPr>
          <w:p w14:paraId="6CC53D61" w14:textId="77777777" w:rsidR="00F65DFC" w:rsidRDefault="00F65DFC" w:rsidP="007A4637">
            <w:pPr>
              <w:pStyle w:val="TableParagraph"/>
              <w:rPr>
                <w:rFonts w:ascii="Times New Roman"/>
                <w:sz w:val="12"/>
              </w:rPr>
            </w:pPr>
          </w:p>
        </w:tc>
      </w:tr>
      <w:tr w:rsidR="00F65DFC" w14:paraId="118B0C3C" w14:textId="77777777" w:rsidTr="007A4637">
        <w:trPr>
          <w:trHeight w:val="179"/>
        </w:trPr>
        <w:tc>
          <w:tcPr>
            <w:tcW w:w="845" w:type="dxa"/>
          </w:tcPr>
          <w:p w14:paraId="12DBC4E8" w14:textId="77777777" w:rsidR="00F65DFC" w:rsidRDefault="00F65DFC" w:rsidP="007A4637">
            <w:pPr>
              <w:pStyle w:val="TableParagraph"/>
              <w:spacing w:line="159" w:lineRule="exact"/>
              <w:rPr>
                <w:sz w:val="16"/>
              </w:rPr>
            </w:pPr>
            <w:r>
              <w:rPr>
                <w:w w:val="84"/>
                <w:sz w:val="16"/>
              </w:rPr>
              <w:t>8</w:t>
            </w:r>
          </w:p>
        </w:tc>
        <w:tc>
          <w:tcPr>
            <w:tcW w:w="1393" w:type="dxa"/>
          </w:tcPr>
          <w:p w14:paraId="141DB1AE" w14:textId="77777777" w:rsidR="00F65DFC" w:rsidRDefault="00F65DFC" w:rsidP="007A4637">
            <w:pPr>
              <w:pStyle w:val="TableParagraph"/>
              <w:rPr>
                <w:rFonts w:ascii="Times New Roman"/>
                <w:sz w:val="12"/>
              </w:rPr>
            </w:pPr>
          </w:p>
        </w:tc>
        <w:tc>
          <w:tcPr>
            <w:tcW w:w="1379" w:type="dxa"/>
          </w:tcPr>
          <w:p w14:paraId="523618EE" w14:textId="77777777" w:rsidR="00F65DFC" w:rsidRDefault="00F65DFC" w:rsidP="007A4637">
            <w:pPr>
              <w:pStyle w:val="TableParagraph"/>
              <w:rPr>
                <w:rFonts w:ascii="Times New Roman"/>
                <w:sz w:val="12"/>
              </w:rPr>
            </w:pPr>
          </w:p>
        </w:tc>
        <w:tc>
          <w:tcPr>
            <w:tcW w:w="1805" w:type="dxa"/>
          </w:tcPr>
          <w:p w14:paraId="00674F90" w14:textId="77777777" w:rsidR="00F65DFC" w:rsidRDefault="00F65DFC" w:rsidP="007A4637">
            <w:pPr>
              <w:pStyle w:val="TableParagraph"/>
              <w:spacing w:line="159" w:lineRule="exact"/>
              <w:ind w:right="695"/>
              <w:jc w:val="right"/>
              <w:rPr>
                <w:sz w:val="16"/>
              </w:rPr>
            </w:pPr>
            <w:r>
              <w:rPr>
                <w:w w:val="95"/>
                <w:sz w:val="16"/>
              </w:rPr>
              <w:t>0.46</w:t>
            </w:r>
          </w:p>
        </w:tc>
        <w:tc>
          <w:tcPr>
            <w:tcW w:w="1490" w:type="dxa"/>
          </w:tcPr>
          <w:p w14:paraId="1663E669" w14:textId="77777777" w:rsidR="00F65DFC" w:rsidRDefault="00F65DFC" w:rsidP="007A4637">
            <w:pPr>
              <w:pStyle w:val="TableParagraph"/>
              <w:rPr>
                <w:rFonts w:ascii="Times New Roman"/>
                <w:sz w:val="12"/>
              </w:rPr>
            </w:pPr>
          </w:p>
        </w:tc>
      </w:tr>
      <w:tr w:rsidR="00F65DFC" w14:paraId="244C0C41" w14:textId="77777777" w:rsidTr="007A4637">
        <w:trPr>
          <w:trHeight w:val="179"/>
        </w:trPr>
        <w:tc>
          <w:tcPr>
            <w:tcW w:w="845" w:type="dxa"/>
          </w:tcPr>
          <w:p w14:paraId="1E612396" w14:textId="77777777" w:rsidR="00F65DFC" w:rsidRDefault="00F65DFC" w:rsidP="007A4637">
            <w:pPr>
              <w:pStyle w:val="TableParagraph"/>
              <w:spacing w:line="160" w:lineRule="exact"/>
              <w:rPr>
                <w:sz w:val="16"/>
              </w:rPr>
            </w:pPr>
            <w:r>
              <w:rPr>
                <w:w w:val="95"/>
                <w:sz w:val="16"/>
              </w:rPr>
              <w:t>12</w:t>
            </w:r>
          </w:p>
        </w:tc>
        <w:tc>
          <w:tcPr>
            <w:tcW w:w="1393" w:type="dxa"/>
          </w:tcPr>
          <w:p w14:paraId="0F9EE999" w14:textId="77777777" w:rsidR="00F65DFC" w:rsidRDefault="00F65DFC" w:rsidP="007A4637">
            <w:pPr>
              <w:pStyle w:val="TableParagraph"/>
              <w:rPr>
                <w:rFonts w:ascii="Times New Roman"/>
                <w:sz w:val="12"/>
              </w:rPr>
            </w:pPr>
          </w:p>
        </w:tc>
        <w:tc>
          <w:tcPr>
            <w:tcW w:w="1379" w:type="dxa"/>
          </w:tcPr>
          <w:p w14:paraId="5E744FCC" w14:textId="77777777" w:rsidR="00F65DFC" w:rsidRDefault="00F65DFC" w:rsidP="007A4637">
            <w:pPr>
              <w:pStyle w:val="TableParagraph"/>
              <w:rPr>
                <w:rFonts w:ascii="Times New Roman"/>
                <w:sz w:val="12"/>
              </w:rPr>
            </w:pPr>
          </w:p>
        </w:tc>
        <w:tc>
          <w:tcPr>
            <w:tcW w:w="1805" w:type="dxa"/>
          </w:tcPr>
          <w:p w14:paraId="2F262E4F" w14:textId="77777777" w:rsidR="00F65DFC" w:rsidRDefault="00F65DFC" w:rsidP="007A4637">
            <w:pPr>
              <w:pStyle w:val="TableParagraph"/>
              <w:spacing w:line="160" w:lineRule="exact"/>
              <w:ind w:right="695"/>
              <w:jc w:val="right"/>
              <w:rPr>
                <w:sz w:val="16"/>
              </w:rPr>
            </w:pPr>
            <w:r>
              <w:rPr>
                <w:w w:val="95"/>
                <w:sz w:val="16"/>
              </w:rPr>
              <w:t>0.45</w:t>
            </w:r>
          </w:p>
        </w:tc>
        <w:tc>
          <w:tcPr>
            <w:tcW w:w="1490" w:type="dxa"/>
          </w:tcPr>
          <w:p w14:paraId="66CB676F" w14:textId="77777777" w:rsidR="00F65DFC" w:rsidRDefault="00F65DFC" w:rsidP="007A4637">
            <w:pPr>
              <w:pStyle w:val="TableParagraph"/>
              <w:rPr>
                <w:rFonts w:ascii="Times New Roman"/>
                <w:sz w:val="12"/>
              </w:rPr>
            </w:pPr>
          </w:p>
        </w:tc>
      </w:tr>
      <w:tr w:rsidR="00F65DFC" w14:paraId="710047CD" w14:textId="77777777" w:rsidTr="007A4637">
        <w:trPr>
          <w:trHeight w:val="179"/>
        </w:trPr>
        <w:tc>
          <w:tcPr>
            <w:tcW w:w="845" w:type="dxa"/>
          </w:tcPr>
          <w:p w14:paraId="147EE7EB" w14:textId="77777777" w:rsidR="00F65DFC" w:rsidRDefault="00F65DFC" w:rsidP="007A4637">
            <w:pPr>
              <w:pStyle w:val="TableParagraph"/>
              <w:spacing w:line="160" w:lineRule="exact"/>
              <w:rPr>
                <w:sz w:val="16"/>
              </w:rPr>
            </w:pPr>
            <w:r>
              <w:rPr>
                <w:w w:val="95"/>
                <w:sz w:val="16"/>
              </w:rPr>
              <w:t>13</w:t>
            </w:r>
          </w:p>
        </w:tc>
        <w:tc>
          <w:tcPr>
            <w:tcW w:w="1393" w:type="dxa"/>
          </w:tcPr>
          <w:p w14:paraId="6393CEBA" w14:textId="77777777" w:rsidR="00F65DFC" w:rsidRDefault="00F65DFC" w:rsidP="007A4637">
            <w:pPr>
              <w:pStyle w:val="TableParagraph"/>
              <w:rPr>
                <w:rFonts w:ascii="Times New Roman"/>
                <w:sz w:val="12"/>
              </w:rPr>
            </w:pPr>
          </w:p>
        </w:tc>
        <w:tc>
          <w:tcPr>
            <w:tcW w:w="1379" w:type="dxa"/>
          </w:tcPr>
          <w:p w14:paraId="386EA3CA" w14:textId="77777777" w:rsidR="00F65DFC" w:rsidRDefault="00F65DFC" w:rsidP="007A4637">
            <w:pPr>
              <w:pStyle w:val="TableParagraph"/>
              <w:rPr>
                <w:rFonts w:ascii="Times New Roman"/>
                <w:sz w:val="12"/>
              </w:rPr>
            </w:pPr>
          </w:p>
        </w:tc>
        <w:tc>
          <w:tcPr>
            <w:tcW w:w="1805" w:type="dxa"/>
          </w:tcPr>
          <w:p w14:paraId="078E5DA5" w14:textId="77777777" w:rsidR="00F65DFC" w:rsidRDefault="00F65DFC" w:rsidP="007A4637">
            <w:pPr>
              <w:pStyle w:val="TableParagraph"/>
              <w:spacing w:line="160" w:lineRule="exact"/>
              <w:ind w:right="695"/>
              <w:jc w:val="right"/>
              <w:rPr>
                <w:sz w:val="16"/>
              </w:rPr>
            </w:pPr>
            <w:r>
              <w:rPr>
                <w:w w:val="95"/>
                <w:sz w:val="16"/>
              </w:rPr>
              <w:t>0.44</w:t>
            </w:r>
          </w:p>
        </w:tc>
        <w:tc>
          <w:tcPr>
            <w:tcW w:w="1490" w:type="dxa"/>
          </w:tcPr>
          <w:p w14:paraId="7BAB2D93" w14:textId="77777777" w:rsidR="00F65DFC" w:rsidRDefault="00F65DFC" w:rsidP="007A4637">
            <w:pPr>
              <w:pStyle w:val="TableParagraph"/>
              <w:rPr>
                <w:rFonts w:ascii="Times New Roman"/>
                <w:sz w:val="12"/>
              </w:rPr>
            </w:pPr>
          </w:p>
        </w:tc>
      </w:tr>
      <w:tr w:rsidR="00F65DFC" w14:paraId="1AB0AB80" w14:textId="77777777" w:rsidTr="007A4637">
        <w:trPr>
          <w:trHeight w:val="179"/>
        </w:trPr>
        <w:tc>
          <w:tcPr>
            <w:tcW w:w="845" w:type="dxa"/>
          </w:tcPr>
          <w:p w14:paraId="32CF76CA" w14:textId="77777777" w:rsidR="00F65DFC" w:rsidRDefault="00F65DFC" w:rsidP="007A4637">
            <w:pPr>
              <w:pStyle w:val="TableParagraph"/>
              <w:spacing w:line="159" w:lineRule="exact"/>
              <w:rPr>
                <w:sz w:val="16"/>
              </w:rPr>
            </w:pPr>
            <w:r>
              <w:rPr>
                <w:w w:val="84"/>
                <w:sz w:val="16"/>
              </w:rPr>
              <w:t>9</w:t>
            </w:r>
          </w:p>
        </w:tc>
        <w:tc>
          <w:tcPr>
            <w:tcW w:w="1393" w:type="dxa"/>
          </w:tcPr>
          <w:p w14:paraId="5C0CEBD6" w14:textId="77777777" w:rsidR="00F65DFC" w:rsidRDefault="00F65DFC" w:rsidP="007A4637">
            <w:pPr>
              <w:pStyle w:val="TableParagraph"/>
              <w:rPr>
                <w:rFonts w:ascii="Times New Roman"/>
                <w:sz w:val="12"/>
              </w:rPr>
            </w:pPr>
          </w:p>
        </w:tc>
        <w:tc>
          <w:tcPr>
            <w:tcW w:w="1379" w:type="dxa"/>
          </w:tcPr>
          <w:p w14:paraId="76C06361" w14:textId="77777777" w:rsidR="00F65DFC" w:rsidRDefault="00F65DFC" w:rsidP="007A4637">
            <w:pPr>
              <w:pStyle w:val="TableParagraph"/>
              <w:rPr>
                <w:rFonts w:ascii="Times New Roman"/>
                <w:sz w:val="12"/>
              </w:rPr>
            </w:pPr>
          </w:p>
        </w:tc>
        <w:tc>
          <w:tcPr>
            <w:tcW w:w="1805" w:type="dxa"/>
          </w:tcPr>
          <w:p w14:paraId="4DB17CFE" w14:textId="77777777" w:rsidR="00F65DFC" w:rsidRDefault="00F65DFC" w:rsidP="007A4637">
            <w:pPr>
              <w:pStyle w:val="TableParagraph"/>
              <w:rPr>
                <w:rFonts w:ascii="Times New Roman"/>
                <w:sz w:val="12"/>
              </w:rPr>
            </w:pPr>
          </w:p>
        </w:tc>
        <w:tc>
          <w:tcPr>
            <w:tcW w:w="1490" w:type="dxa"/>
          </w:tcPr>
          <w:p w14:paraId="2D1506BF" w14:textId="77777777" w:rsidR="00F65DFC" w:rsidRDefault="00F65DFC" w:rsidP="007A4637">
            <w:pPr>
              <w:pStyle w:val="TableParagraph"/>
              <w:spacing w:line="159" w:lineRule="exact"/>
              <w:ind w:right="513"/>
              <w:jc w:val="right"/>
              <w:rPr>
                <w:sz w:val="16"/>
              </w:rPr>
            </w:pPr>
            <w:r>
              <w:rPr>
                <w:w w:val="95"/>
                <w:sz w:val="16"/>
              </w:rPr>
              <w:t>0.72</w:t>
            </w:r>
          </w:p>
        </w:tc>
      </w:tr>
      <w:tr w:rsidR="00F65DFC" w14:paraId="4FB345CA" w14:textId="77777777" w:rsidTr="007A4637">
        <w:trPr>
          <w:trHeight w:val="179"/>
        </w:trPr>
        <w:tc>
          <w:tcPr>
            <w:tcW w:w="845" w:type="dxa"/>
          </w:tcPr>
          <w:p w14:paraId="06B00660" w14:textId="77777777" w:rsidR="00F65DFC" w:rsidRDefault="00F65DFC" w:rsidP="007A4637">
            <w:pPr>
              <w:pStyle w:val="TableParagraph"/>
              <w:spacing w:line="159" w:lineRule="exact"/>
              <w:rPr>
                <w:sz w:val="16"/>
              </w:rPr>
            </w:pPr>
            <w:r>
              <w:rPr>
                <w:w w:val="84"/>
                <w:sz w:val="16"/>
              </w:rPr>
              <w:t>3</w:t>
            </w:r>
          </w:p>
        </w:tc>
        <w:tc>
          <w:tcPr>
            <w:tcW w:w="1393" w:type="dxa"/>
          </w:tcPr>
          <w:p w14:paraId="29F13F2F" w14:textId="77777777" w:rsidR="00F65DFC" w:rsidRDefault="00F65DFC" w:rsidP="007A4637">
            <w:pPr>
              <w:pStyle w:val="TableParagraph"/>
              <w:rPr>
                <w:rFonts w:ascii="Times New Roman"/>
                <w:sz w:val="12"/>
              </w:rPr>
            </w:pPr>
          </w:p>
        </w:tc>
        <w:tc>
          <w:tcPr>
            <w:tcW w:w="1379" w:type="dxa"/>
          </w:tcPr>
          <w:p w14:paraId="2711AB4B" w14:textId="77777777" w:rsidR="00F65DFC" w:rsidRDefault="00F65DFC" w:rsidP="007A4637">
            <w:pPr>
              <w:pStyle w:val="TableParagraph"/>
              <w:rPr>
                <w:rFonts w:ascii="Times New Roman"/>
                <w:sz w:val="12"/>
              </w:rPr>
            </w:pPr>
          </w:p>
        </w:tc>
        <w:tc>
          <w:tcPr>
            <w:tcW w:w="1805" w:type="dxa"/>
          </w:tcPr>
          <w:p w14:paraId="6BE51F14" w14:textId="77777777" w:rsidR="00F65DFC" w:rsidRDefault="00F65DFC" w:rsidP="007A4637">
            <w:pPr>
              <w:pStyle w:val="TableParagraph"/>
              <w:rPr>
                <w:rFonts w:ascii="Times New Roman"/>
                <w:sz w:val="12"/>
              </w:rPr>
            </w:pPr>
          </w:p>
        </w:tc>
        <w:tc>
          <w:tcPr>
            <w:tcW w:w="1490" w:type="dxa"/>
          </w:tcPr>
          <w:p w14:paraId="4FE6435E" w14:textId="77777777" w:rsidR="00F65DFC" w:rsidRDefault="00F65DFC" w:rsidP="007A4637">
            <w:pPr>
              <w:pStyle w:val="TableParagraph"/>
              <w:spacing w:line="159" w:lineRule="exact"/>
              <w:ind w:right="513"/>
              <w:jc w:val="right"/>
              <w:rPr>
                <w:sz w:val="16"/>
              </w:rPr>
            </w:pPr>
            <w:r>
              <w:rPr>
                <w:w w:val="95"/>
                <w:sz w:val="16"/>
              </w:rPr>
              <w:t>0.67</w:t>
            </w:r>
          </w:p>
        </w:tc>
      </w:tr>
      <w:tr w:rsidR="00F65DFC" w14:paraId="6A2784A1" w14:textId="77777777" w:rsidTr="007A4637">
        <w:trPr>
          <w:trHeight w:val="179"/>
        </w:trPr>
        <w:tc>
          <w:tcPr>
            <w:tcW w:w="845" w:type="dxa"/>
          </w:tcPr>
          <w:p w14:paraId="2B892BA7" w14:textId="77777777" w:rsidR="00F65DFC" w:rsidRDefault="00F65DFC" w:rsidP="007A4637">
            <w:pPr>
              <w:pStyle w:val="TableParagraph"/>
              <w:spacing w:line="159" w:lineRule="exact"/>
              <w:rPr>
                <w:sz w:val="16"/>
              </w:rPr>
            </w:pPr>
            <w:r>
              <w:rPr>
                <w:w w:val="95"/>
                <w:sz w:val="16"/>
              </w:rPr>
              <w:t>20</w:t>
            </w:r>
          </w:p>
        </w:tc>
        <w:tc>
          <w:tcPr>
            <w:tcW w:w="1393" w:type="dxa"/>
          </w:tcPr>
          <w:p w14:paraId="485C7444" w14:textId="77777777" w:rsidR="00F65DFC" w:rsidRDefault="00F65DFC" w:rsidP="007A4637">
            <w:pPr>
              <w:pStyle w:val="TableParagraph"/>
              <w:rPr>
                <w:rFonts w:ascii="Times New Roman"/>
                <w:sz w:val="12"/>
              </w:rPr>
            </w:pPr>
          </w:p>
        </w:tc>
        <w:tc>
          <w:tcPr>
            <w:tcW w:w="1379" w:type="dxa"/>
          </w:tcPr>
          <w:p w14:paraId="1DE5434D" w14:textId="77777777" w:rsidR="00F65DFC" w:rsidRDefault="00F65DFC" w:rsidP="007A4637">
            <w:pPr>
              <w:pStyle w:val="TableParagraph"/>
              <w:rPr>
                <w:rFonts w:ascii="Times New Roman"/>
                <w:sz w:val="12"/>
              </w:rPr>
            </w:pPr>
          </w:p>
        </w:tc>
        <w:tc>
          <w:tcPr>
            <w:tcW w:w="1805" w:type="dxa"/>
          </w:tcPr>
          <w:p w14:paraId="7F539857" w14:textId="77777777" w:rsidR="00F65DFC" w:rsidRDefault="00F65DFC" w:rsidP="007A4637">
            <w:pPr>
              <w:pStyle w:val="TableParagraph"/>
              <w:rPr>
                <w:rFonts w:ascii="Times New Roman"/>
                <w:sz w:val="12"/>
              </w:rPr>
            </w:pPr>
          </w:p>
        </w:tc>
        <w:tc>
          <w:tcPr>
            <w:tcW w:w="1490" w:type="dxa"/>
          </w:tcPr>
          <w:p w14:paraId="45084AB9" w14:textId="77777777" w:rsidR="00F65DFC" w:rsidRDefault="00F65DFC" w:rsidP="007A4637">
            <w:pPr>
              <w:pStyle w:val="TableParagraph"/>
              <w:spacing w:line="159" w:lineRule="exact"/>
              <w:ind w:right="513"/>
              <w:jc w:val="right"/>
              <w:rPr>
                <w:sz w:val="16"/>
              </w:rPr>
            </w:pPr>
            <w:r>
              <w:rPr>
                <w:w w:val="95"/>
                <w:sz w:val="16"/>
              </w:rPr>
              <w:t>0.62</w:t>
            </w:r>
          </w:p>
        </w:tc>
      </w:tr>
      <w:tr w:rsidR="00F65DFC" w14:paraId="78E23669" w14:textId="77777777" w:rsidTr="007A4637">
        <w:trPr>
          <w:trHeight w:val="179"/>
        </w:trPr>
        <w:tc>
          <w:tcPr>
            <w:tcW w:w="845" w:type="dxa"/>
          </w:tcPr>
          <w:p w14:paraId="09180423" w14:textId="77777777" w:rsidR="00F65DFC" w:rsidRDefault="00F65DFC" w:rsidP="007A4637">
            <w:pPr>
              <w:pStyle w:val="TableParagraph"/>
              <w:spacing w:line="159" w:lineRule="exact"/>
              <w:rPr>
                <w:sz w:val="16"/>
              </w:rPr>
            </w:pPr>
            <w:r>
              <w:rPr>
                <w:w w:val="84"/>
                <w:sz w:val="16"/>
              </w:rPr>
              <w:t>6</w:t>
            </w:r>
          </w:p>
        </w:tc>
        <w:tc>
          <w:tcPr>
            <w:tcW w:w="1393" w:type="dxa"/>
          </w:tcPr>
          <w:p w14:paraId="7963588D" w14:textId="77777777" w:rsidR="00F65DFC" w:rsidRDefault="00F65DFC" w:rsidP="007A4637">
            <w:pPr>
              <w:pStyle w:val="TableParagraph"/>
              <w:rPr>
                <w:rFonts w:ascii="Times New Roman"/>
                <w:sz w:val="12"/>
              </w:rPr>
            </w:pPr>
          </w:p>
        </w:tc>
        <w:tc>
          <w:tcPr>
            <w:tcW w:w="1379" w:type="dxa"/>
          </w:tcPr>
          <w:p w14:paraId="73490F02" w14:textId="77777777" w:rsidR="00F65DFC" w:rsidRDefault="00F65DFC" w:rsidP="007A4637">
            <w:pPr>
              <w:pStyle w:val="TableParagraph"/>
              <w:rPr>
                <w:rFonts w:ascii="Times New Roman"/>
                <w:sz w:val="12"/>
              </w:rPr>
            </w:pPr>
          </w:p>
        </w:tc>
        <w:tc>
          <w:tcPr>
            <w:tcW w:w="1805" w:type="dxa"/>
          </w:tcPr>
          <w:p w14:paraId="54D1AE3F" w14:textId="77777777" w:rsidR="00F65DFC" w:rsidRDefault="00F65DFC" w:rsidP="007A4637">
            <w:pPr>
              <w:pStyle w:val="TableParagraph"/>
              <w:rPr>
                <w:rFonts w:ascii="Times New Roman"/>
                <w:sz w:val="12"/>
              </w:rPr>
            </w:pPr>
          </w:p>
        </w:tc>
        <w:tc>
          <w:tcPr>
            <w:tcW w:w="1490" w:type="dxa"/>
          </w:tcPr>
          <w:p w14:paraId="0B167DBB" w14:textId="77777777" w:rsidR="00F65DFC" w:rsidRDefault="00F65DFC" w:rsidP="007A4637">
            <w:pPr>
              <w:pStyle w:val="TableParagraph"/>
              <w:spacing w:line="159" w:lineRule="exact"/>
              <w:ind w:right="513"/>
              <w:jc w:val="right"/>
              <w:rPr>
                <w:sz w:val="16"/>
              </w:rPr>
            </w:pPr>
            <w:r>
              <w:rPr>
                <w:w w:val="95"/>
                <w:sz w:val="16"/>
              </w:rPr>
              <w:t>0.50</w:t>
            </w:r>
          </w:p>
        </w:tc>
      </w:tr>
      <w:tr w:rsidR="00F65DFC" w14:paraId="27AFF543" w14:textId="77777777" w:rsidTr="007A4637">
        <w:trPr>
          <w:trHeight w:val="179"/>
        </w:trPr>
        <w:tc>
          <w:tcPr>
            <w:tcW w:w="845" w:type="dxa"/>
          </w:tcPr>
          <w:p w14:paraId="194E654A" w14:textId="77777777" w:rsidR="00F65DFC" w:rsidRDefault="00F65DFC" w:rsidP="007A4637">
            <w:pPr>
              <w:pStyle w:val="TableParagraph"/>
              <w:spacing w:line="160" w:lineRule="exact"/>
              <w:rPr>
                <w:sz w:val="16"/>
              </w:rPr>
            </w:pPr>
            <w:r>
              <w:rPr>
                <w:w w:val="84"/>
                <w:sz w:val="16"/>
              </w:rPr>
              <w:t>5</w:t>
            </w:r>
          </w:p>
        </w:tc>
        <w:tc>
          <w:tcPr>
            <w:tcW w:w="1393" w:type="dxa"/>
          </w:tcPr>
          <w:p w14:paraId="6F908732" w14:textId="77777777" w:rsidR="00F65DFC" w:rsidRDefault="00F65DFC" w:rsidP="007A4637">
            <w:pPr>
              <w:pStyle w:val="TableParagraph"/>
              <w:rPr>
                <w:rFonts w:ascii="Times New Roman"/>
                <w:sz w:val="12"/>
              </w:rPr>
            </w:pPr>
          </w:p>
        </w:tc>
        <w:tc>
          <w:tcPr>
            <w:tcW w:w="1379" w:type="dxa"/>
          </w:tcPr>
          <w:p w14:paraId="169F75AA" w14:textId="77777777" w:rsidR="00F65DFC" w:rsidRDefault="00F65DFC" w:rsidP="007A4637">
            <w:pPr>
              <w:pStyle w:val="TableParagraph"/>
              <w:rPr>
                <w:rFonts w:ascii="Times New Roman"/>
                <w:sz w:val="12"/>
              </w:rPr>
            </w:pPr>
          </w:p>
        </w:tc>
        <w:tc>
          <w:tcPr>
            <w:tcW w:w="1805" w:type="dxa"/>
          </w:tcPr>
          <w:p w14:paraId="7E71AED4" w14:textId="77777777" w:rsidR="00F65DFC" w:rsidRDefault="00F65DFC" w:rsidP="007A4637">
            <w:pPr>
              <w:pStyle w:val="TableParagraph"/>
              <w:rPr>
                <w:rFonts w:ascii="Times New Roman"/>
                <w:sz w:val="12"/>
              </w:rPr>
            </w:pPr>
          </w:p>
        </w:tc>
        <w:tc>
          <w:tcPr>
            <w:tcW w:w="1490" w:type="dxa"/>
          </w:tcPr>
          <w:p w14:paraId="6A4D046F" w14:textId="77777777" w:rsidR="00F65DFC" w:rsidRDefault="00F65DFC" w:rsidP="007A4637">
            <w:pPr>
              <w:pStyle w:val="TableParagraph"/>
              <w:spacing w:line="160" w:lineRule="exact"/>
              <w:ind w:right="513"/>
              <w:jc w:val="right"/>
              <w:rPr>
                <w:sz w:val="16"/>
              </w:rPr>
            </w:pPr>
            <w:r>
              <w:rPr>
                <w:w w:val="95"/>
                <w:sz w:val="16"/>
              </w:rPr>
              <w:t>0.42</w:t>
            </w:r>
          </w:p>
        </w:tc>
      </w:tr>
      <w:tr w:rsidR="00F65DFC" w14:paraId="6E78A6D9" w14:textId="77777777" w:rsidTr="007A4637">
        <w:trPr>
          <w:trHeight w:val="179"/>
        </w:trPr>
        <w:tc>
          <w:tcPr>
            <w:tcW w:w="845" w:type="dxa"/>
          </w:tcPr>
          <w:p w14:paraId="2460C423" w14:textId="77777777" w:rsidR="00F65DFC" w:rsidRDefault="00F65DFC" w:rsidP="007A4637">
            <w:pPr>
              <w:pStyle w:val="TableParagraph"/>
              <w:spacing w:line="160" w:lineRule="exact"/>
              <w:rPr>
                <w:sz w:val="16"/>
              </w:rPr>
            </w:pPr>
            <w:r>
              <w:rPr>
                <w:sz w:val="16"/>
              </w:rPr>
              <w:t>Eigenvalue</w:t>
            </w:r>
          </w:p>
        </w:tc>
        <w:tc>
          <w:tcPr>
            <w:tcW w:w="1393" w:type="dxa"/>
          </w:tcPr>
          <w:p w14:paraId="2F51406B" w14:textId="77777777" w:rsidR="00F65DFC" w:rsidRDefault="00F65DFC" w:rsidP="007A4637">
            <w:pPr>
              <w:pStyle w:val="TableParagraph"/>
              <w:spacing w:line="160" w:lineRule="exact"/>
              <w:ind w:right="607"/>
              <w:jc w:val="right"/>
              <w:rPr>
                <w:sz w:val="16"/>
              </w:rPr>
            </w:pPr>
            <w:r>
              <w:rPr>
                <w:w w:val="95"/>
                <w:sz w:val="16"/>
              </w:rPr>
              <w:t>8.70</w:t>
            </w:r>
          </w:p>
        </w:tc>
        <w:tc>
          <w:tcPr>
            <w:tcW w:w="1379" w:type="dxa"/>
          </w:tcPr>
          <w:p w14:paraId="5B210A35" w14:textId="77777777" w:rsidR="00F65DFC" w:rsidRDefault="00F65DFC" w:rsidP="007A4637">
            <w:pPr>
              <w:pStyle w:val="TableParagraph"/>
              <w:spacing w:line="160" w:lineRule="exact"/>
              <w:ind w:left="525"/>
              <w:rPr>
                <w:sz w:val="16"/>
              </w:rPr>
            </w:pPr>
            <w:r>
              <w:rPr>
                <w:w w:val="95"/>
                <w:sz w:val="16"/>
              </w:rPr>
              <w:t>1.75</w:t>
            </w:r>
          </w:p>
        </w:tc>
        <w:tc>
          <w:tcPr>
            <w:tcW w:w="1805" w:type="dxa"/>
          </w:tcPr>
          <w:p w14:paraId="1D917C15" w14:textId="77777777" w:rsidR="00F65DFC" w:rsidRDefault="00F65DFC" w:rsidP="007A4637">
            <w:pPr>
              <w:pStyle w:val="TableParagraph"/>
              <w:spacing w:line="160" w:lineRule="exact"/>
              <w:ind w:right="695"/>
              <w:jc w:val="right"/>
              <w:rPr>
                <w:sz w:val="16"/>
              </w:rPr>
            </w:pPr>
            <w:r>
              <w:rPr>
                <w:w w:val="95"/>
                <w:sz w:val="16"/>
              </w:rPr>
              <w:t>1.22</w:t>
            </w:r>
          </w:p>
        </w:tc>
        <w:tc>
          <w:tcPr>
            <w:tcW w:w="1490" w:type="dxa"/>
          </w:tcPr>
          <w:p w14:paraId="7151E986" w14:textId="77777777" w:rsidR="00F65DFC" w:rsidRDefault="00F65DFC" w:rsidP="007A4637">
            <w:pPr>
              <w:pStyle w:val="TableParagraph"/>
              <w:spacing w:line="160" w:lineRule="exact"/>
              <w:ind w:right="513"/>
              <w:jc w:val="right"/>
              <w:rPr>
                <w:sz w:val="16"/>
              </w:rPr>
            </w:pPr>
            <w:r>
              <w:rPr>
                <w:w w:val="95"/>
                <w:sz w:val="16"/>
              </w:rPr>
              <w:t>1.03</w:t>
            </w:r>
          </w:p>
        </w:tc>
      </w:tr>
      <w:tr w:rsidR="00F65DFC" w14:paraId="677F425B" w14:textId="77777777" w:rsidTr="007A4637">
        <w:trPr>
          <w:trHeight w:val="179"/>
        </w:trPr>
        <w:tc>
          <w:tcPr>
            <w:tcW w:w="845" w:type="dxa"/>
          </w:tcPr>
          <w:p w14:paraId="25A5C5B3" w14:textId="77777777" w:rsidR="00F65DFC" w:rsidRDefault="00F65DFC" w:rsidP="007A4637">
            <w:pPr>
              <w:pStyle w:val="TableParagraph"/>
              <w:spacing w:line="159" w:lineRule="exact"/>
              <w:rPr>
                <w:sz w:val="16"/>
              </w:rPr>
            </w:pPr>
            <w:r>
              <w:rPr>
                <w:sz w:val="16"/>
              </w:rPr>
              <w:t>Variance</w:t>
            </w:r>
          </w:p>
        </w:tc>
        <w:tc>
          <w:tcPr>
            <w:tcW w:w="1393" w:type="dxa"/>
          </w:tcPr>
          <w:p w14:paraId="639E2909" w14:textId="77777777" w:rsidR="00F65DFC" w:rsidRDefault="00F65DFC" w:rsidP="007A4637">
            <w:pPr>
              <w:pStyle w:val="TableParagraph"/>
              <w:rPr>
                <w:rFonts w:ascii="Times New Roman"/>
                <w:sz w:val="12"/>
              </w:rPr>
            </w:pPr>
          </w:p>
        </w:tc>
        <w:tc>
          <w:tcPr>
            <w:tcW w:w="1379" w:type="dxa"/>
          </w:tcPr>
          <w:p w14:paraId="45992346" w14:textId="77777777" w:rsidR="00F65DFC" w:rsidRDefault="00F65DFC" w:rsidP="007A4637">
            <w:pPr>
              <w:pStyle w:val="TableParagraph"/>
              <w:rPr>
                <w:rFonts w:ascii="Times New Roman"/>
                <w:sz w:val="12"/>
              </w:rPr>
            </w:pPr>
          </w:p>
        </w:tc>
        <w:tc>
          <w:tcPr>
            <w:tcW w:w="1805" w:type="dxa"/>
          </w:tcPr>
          <w:p w14:paraId="1EEB0894" w14:textId="77777777" w:rsidR="00F65DFC" w:rsidRDefault="00F65DFC" w:rsidP="007A4637">
            <w:pPr>
              <w:pStyle w:val="TableParagraph"/>
              <w:rPr>
                <w:rFonts w:ascii="Times New Roman"/>
                <w:sz w:val="12"/>
              </w:rPr>
            </w:pPr>
          </w:p>
        </w:tc>
        <w:tc>
          <w:tcPr>
            <w:tcW w:w="1490" w:type="dxa"/>
          </w:tcPr>
          <w:p w14:paraId="39B4C891" w14:textId="77777777" w:rsidR="00F65DFC" w:rsidRDefault="00F65DFC" w:rsidP="007A4637">
            <w:pPr>
              <w:pStyle w:val="TableParagraph"/>
              <w:rPr>
                <w:rFonts w:ascii="Times New Roman"/>
                <w:sz w:val="12"/>
              </w:rPr>
            </w:pPr>
          </w:p>
        </w:tc>
      </w:tr>
      <w:tr w:rsidR="00F65DFC" w14:paraId="4951BD2F" w14:textId="77777777" w:rsidTr="007A4637">
        <w:trPr>
          <w:trHeight w:val="182"/>
        </w:trPr>
        <w:tc>
          <w:tcPr>
            <w:tcW w:w="845" w:type="dxa"/>
          </w:tcPr>
          <w:p w14:paraId="18219B8A" w14:textId="77777777" w:rsidR="00F65DFC" w:rsidRDefault="00F65DFC" w:rsidP="007A4637">
            <w:pPr>
              <w:pStyle w:val="TableParagraph"/>
              <w:spacing w:line="163" w:lineRule="exact"/>
              <w:rPr>
                <w:sz w:val="16"/>
              </w:rPr>
            </w:pPr>
            <w:r>
              <w:rPr>
                <w:sz w:val="16"/>
              </w:rPr>
              <w:t>explained</w:t>
            </w:r>
          </w:p>
        </w:tc>
        <w:tc>
          <w:tcPr>
            <w:tcW w:w="1393" w:type="dxa"/>
          </w:tcPr>
          <w:p w14:paraId="5C58C7FC" w14:textId="77777777" w:rsidR="00F65DFC" w:rsidRDefault="00F65DFC" w:rsidP="007A4637">
            <w:pPr>
              <w:pStyle w:val="TableParagraph"/>
              <w:spacing w:line="163" w:lineRule="exact"/>
              <w:ind w:right="607"/>
              <w:jc w:val="right"/>
              <w:rPr>
                <w:sz w:val="16"/>
              </w:rPr>
            </w:pPr>
            <w:r>
              <w:rPr>
                <w:w w:val="95"/>
                <w:sz w:val="16"/>
              </w:rPr>
              <w:t>34.82</w:t>
            </w:r>
          </w:p>
        </w:tc>
        <w:tc>
          <w:tcPr>
            <w:tcW w:w="1379" w:type="dxa"/>
          </w:tcPr>
          <w:p w14:paraId="54FCF9FE" w14:textId="77777777" w:rsidR="00F65DFC" w:rsidRDefault="00F65DFC" w:rsidP="007A4637">
            <w:pPr>
              <w:pStyle w:val="TableParagraph"/>
              <w:spacing w:line="163" w:lineRule="exact"/>
              <w:ind w:left="525"/>
              <w:rPr>
                <w:sz w:val="16"/>
              </w:rPr>
            </w:pPr>
            <w:r>
              <w:rPr>
                <w:w w:val="95"/>
                <w:sz w:val="16"/>
              </w:rPr>
              <w:t>7.02</w:t>
            </w:r>
          </w:p>
        </w:tc>
        <w:tc>
          <w:tcPr>
            <w:tcW w:w="1805" w:type="dxa"/>
          </w:tcPr>
          <w:p w14:paraId="080F7140" w14:textId="77777777" w:rsidR="00F65DFC" w:rsidRDefault="00F65DFC" w:rsidP="007A4637">
            <w:pPr>
              <w:pStyle w:val="TableParagraph"/>
              <w:spacing w:line="163" w:lineRule="exact"/>
              <w:ind w:right="695"/>
              <w:jc w:val="right"/>
              <w:rPr>
                <w:sz w:val="16"/>
              </w:rPr>
            </w:pPr>
            <w:r>
              <w:rPr>
                <w:w w:val="95"/>
                <w:sz w:val="16"/>
              </w:rPr>
              <w:t>4.88</w:t>
            </w:r>
          </w:p>
        </w:tc>
        <w:tc>
          <w:tcPr>
            <w:tcW w:w="1490" w:type="dxa"/>
          </w:tcPr>
          <w:p w14:paraId="53784DE9" w14:textId="77777777" w:rsidR="00F65DFC" w:rsidRDefault="00F65DFC" w:rsidP="007A4637">
            <w:pPr>
              <w:pStyle w:val="TableParagraph"/>
              <w:spacing w:line="163" w:lineRule="exact"/>
              <w:ind w:right="513"/>
              <w:jc w:val="right"/>
              <w:rPr>
                <w:sz w:val="16"/>
              </w:rPr>
            </w:pPr>
            <w:r>
              <w:rPr>
                <w:w w:val="95"/>
                <w:sz w:val="16"/>
              </w:rPr>
              <w:t>4.14</w:t>
            </w:r>
          </w:p>
        </w:tc>
      </w:tr>
    </w:tbl>
    <w:p w14:paraId="3E7A961C" w14:textId="77777777" w:rsidR="00F65DFC" w:rsidRDefault="00F65DFC" w:rsidP="00F65DFC">
      <w:pPr>
        <w:pStyle w:val="Normal1"/>
        <w:spacing w:line="480" w:lineRule="auto"/>
        <w:contextualSpacing/>
        <w:rPr>
          <w:rFonts w:ascii="Times New Roman" w:hAnsi="Times New Roman" w:cs="Times New Roman"/>
          <w:color w:val="000000" w:themeColor="text1"/>
          <w:sz w:val="24"/>
          <w:szCs w:val="24"/>
        </w:rPr>
      </w:pPr>
    </w:p>
    <w:p w14:paraId="33BE4575" w14:textId="7029F096" w:rsidR="008D0280" w:rsidRPr="0090305A" w:rsidRDefault="00F65DFC" w:rsidP="00F65DFC">
      <w:pPr>
        <w:pStyle w:val="Normal1"/>
        <w:spacing w:line="480" w:lineRule="auto"/>
        <w:contextualSpacing/>
        <w:rPr>
          <w:color w:val="000000" w:themeColor="text1"/>
        </w:rPr>
      </w:pPr>
      <w:r w:rsidRPr="00F65DFC">
        <w:rPr>
          <w:rFonts w:ascii="Times New Roman" w:hAnsi="Times New Roman" w:cs="Times New Roman"/>
          <w:color w:val="000000" w:themeColor="text1"/>
          <w:sz w:val="24"/>
          <w:szCs w:val="24"/>
        </w:rPr>
        <w:t>Table I. E</w:t>
      </w:r>
      <w:r>
        <w:rPr>
          <w:rFonts w:ascii="Times New Roman" w:hAnsi="Times New Roman" w:cs="Times New Roman"/>
          <w:color w:val="000000" w:themeColor="text1"/>
          <w:sz w:val="24"/>
          <w:szCs w:val="24"/>
        </w:rPr>
        <w:t>x</w:t>
      </w:r>
      <w:r w:rsidRPr="00F65DFC">
        <w:rPr>
          <w:rFonts w:ascii="Times New Roman" w:hAnsi="Times New Roman" w:cs="Times New Roman"/>
          <w:color w:val="000000" w:themeColor="text1"/>
          <w:sz w:val="24"/>
          <w:szCs w:val="24"/>
        </w:rPr>
        <w:t>ploratory factor analysis of CD RISC in Latin American public relations practitioners</w:t>
      </w:r>
    </w:p>
    <w:p w14:paraId="52EE73CB" w14:textId="2AB2503D" w:rsidR="00E113A9" w:rsidRPr="0090305A" w:rsidRDefault="00E113A9" w:rsidP="0090305A">
      <w:pPr>
        <w:spacing w:line="480" w:lineRule="auto"/>
        <w:jc w:val="center"/>
        <w:rPr>
          <w:color w:val="000000" w:themeColor="text1"/>
          <w:lang w:val="en-US"/>
        </w:rPr>
      </w:pPr>
    </w:p>
    <w:tbl>
      <w:tblPr>
        <w:tblStyle w:val="TableNormal"/>
        <w:tblW w:w="0" w:type="auto"/>
        <w:tblInd w:w="7" w:type="dxa"/>
        <w:tblLayout w:type="fixed"/>
        <w:tblLook w:val="01E0" w:firstRow="1" w:lastRow="1" w:firstColumn="1" w:lastColumn="1" w:noHBand="0" w:noVBand="0"/>
      </w:tblPr>
      <w:tblGrid>
        <w:gridCol w:w="660"/>
        <w:gridCol w:w="3653"/>
        <w:gridCol w:w="583"/>
        <w:gridCol w:w="558"/>
        <w:gridCol w:w="1460"/>
        <w:gridCol w:w="120"/>
      </w:tblGrid>
      <w:tr w:rsidR="00F65DFC" w14:paraId="7A590334" w14:textId="77777777" w:rsidTr="007A4637">
        <w:trPr>
          <w:trHeight w:val="328"/>
        </w:trPr>
        <w:tc>
          <w:tcPr>
            <w:tcW w:w="660" w:type="dxa"/>
            <w:tcBorders>
              <w:top w:val="single" w:sz="6" w:space="0" w:color="000000"/>
              <w:bottom w:val="single" w:sz="6" w:space="0" w:color="000000"/>
            </w:tcBorders>
          </w:tcPr>
          <w:p w14:paraId="745ADEB2" w14:textId="77777777" w:rsidR="00F65DFC" w:rsidRDefault="00F65DFC" w:rsidP="007A4637">
            <w:pPr>
              <w:pStyle w:val="TableParagraph"/>
              <w:spacing w:before="108"/>
              <w:rPr>
                <w:sz w:val="16"/>
              </w:rPr>
            </w:pPr>
            <w:r>
              <w:rPr>
                <w:w w:val="95"/>
                <w:sz w:val="16"/>
              </w:rPr>
              <w:lastRenderedPageBreak/>
              <w:t>Item</w:t>
            </w:r>
            <w:r>
              <w:rPr>
                <w:spacing w:val="4"/>
                <w:w w:val="95"/>
                <w:sz w:val="16"/>
              </w:rPr>
              <w:t xml:space="preserve"> </w:t>
            </w:r>
            <w:r>
              <w:rPr>
                <w:w w:val="95"/>
                <w:sz w:val="16"/>
              </w:rPr>
              <w:t>No.</w:t>
            </w:r>
          </w:p>
        </w:tc>
        <w:tc>
          <w:tcPr>
            <w:tcW w:w="3653" w:type="dxa"/>
            <w:tcBorders>
              <w:top w:val="single" w:sz="6" w:space="0" w:color="000000"/>
              <w:bottom w:val="single" w:sz="6" w:space="0" w:color="000000"/>
            </w:tcBorders>
          </w:tcPr>
          <w:p w14:paraId="5D1E46F4" w14:textId="77777777" w:rsidR="00F65DFC" w:rsidRDefault="00F65DFC" w:rsidP="007A4637">
            <w:pPr>
              <w:pStyle w:val="TableParagraph"/>
              <w:spacing w:before="108"/>
              <w:ind w:left="114"/>
              <w:rPr>
                <w:sz w:val="16"/>
              </w:rPr>
            </w:pPr>
            <w:r>
              <w:rPr>
                <w:w w:val="95"/>
                <w:sz w:val="16"/>
              </w:rPr>
              <w:t>Abbreviated</w:t>
            </w:r>
            <w:r>
              <w:rPr>
                <w:spacing w:val="5"/>
                <w:w w:val="95"/>
                <w:sz w:val="16"/>
              </w:rPr>
              <w:t xml:space="preserve"> </w:t>
            </w:r>
            <w:r>
              <w:rPr>
                <w:w w:val="95"/>
                <w:sz w:val="16"/>
              </w:rPr>
              <w:t>item</w:t>
            </w:r>
          </w:p>
        </w:tc>
        <w:tc>
          <w:tcPr>
            <w:tcW w:w="583" w:type="dxa"/>
            <w:tcBorders>
              <w:top w:val="single" w:sz="6" w:space="0" w:color="000000"/>
              <w:bottom w:val="single" w:sz="6" w:space="0" w:color="000000"/>
            </w:tcBorders>
          </w:tcPr>
          <w:p w14:paraId="6D94D4E1" w14:textId="77777777" w:rsidR="00F65DFC" w:rsidRDefault="00F65DFC" w:rsidP="007A4637">
            <w:pPr>
              <w:pStyle w:val="TableParagraph"/>
              <w:spacing w:before="108"/>
              <w:ind w:left="113"/>
              <w:rPr>
                <w:sz w:val="16"/>
              </w:rPr>
            </w:pPr>
            <w:r>
              <w:rPr>
                <w:sz w:val="16"/>
              </w:rPr>
              <w:t>Mean</w:t>
            </w:r>
          </w:p>
        </w:tc>
        <w:tc>
          <w:tcPr>
            <w:tcW w:w="558" w:type="dxa"/>
            <w:tcBorders>
              <w:top w:val="single" w:sz="6" w:space="0" w:color="000000"/>
              <w:bottom w:val="single" w:sz="6" w:space="0" w:color="000000"/>
            </w:tcBorders>
          </w:tcPr>
          <w:p w14:paraId="01B7BE91" w14:textId="77777777" w:rsidR="00F65DFC" w:rsidRDefault="00F65DFC" w:rsidP="007A4637">
            <w:pPr>
              <w:pStyle w:val="TableParagraph"/>
              <w:spacing w:before="108"/>
              <w:ind w:left="183"/>
              <w:rPr>
                <w:sz w:val="16"/>
              </w:rPr>
            </w:pPr>
            <w:r>
              <w:rPr>
                <w:sz w:val="16"/>
              </w:rPr>
              <w:t>SD</w:t>
            </w:r>
          </w:p>
        </w:tc>
        <w:tc>
          <w:tcPr>
            <w:tcW w:w="1460" w:type="dxa"/>
            <w:tcBorders>
              <w:top w:val="single" w:sz="6" w:space="0" w:color="000000"/>
              <w:bottom w:val="single" w:sz="6" w:space="0" w:color="000000"/>
            </w:tcBorders>
          </w:tcPr>
          <w:p w14:paraId="011679DA" w14:textId="77777777" w:rsidR="00F65DFC" w:rsidRDefault="00F65DFC" w:rsidP="007A4637">
            <w:pPr>
              <w:pStyle w:val="TableParagraph"/>
              <w:spacing w:before="108"/>
              <w:ind w:left="113" w:right="-15"/>
              <w:jc w:val="center"/>
              <w:rPr>
                <w:sz w:val="16"/>
              </w:rPr>
            </w:pPr>
            <w:r>
              <w:rPr>
                <w:w w:val="90"/>
                <w:sz w:val="16"/>
              </w:rPr>
              <w:t>Item-total</w:t>
            </w:r>
            <w:r>
              <w:rPr>
                <w:spacing w:val="14"/>
                <w:w w:val="90"/>
                <w:sz w:val="16"/>
              </w:rPr>
              <w:t xml:space="preserve"> </w:t>
            </w:r>
            <w:r>
              <w:rPr>
                <w:w w:val="90"/>
                <w:sz w:val="16"/>
              </w:rPr>
              <w:t>correlation</w:t>
            </w:r>
          </w:p>
        </w:tc>
        <w:tc>
          <w:tcPr>
            <w:tcW w:w="120" w:type="dxa"/>
          </w:tcPr>
          <w:p w14:paraId="564D4403" w14:textId="77777777" w:rsidR="00F65DFC" w:rsidRDefault="00F65DFC" w:rsidP="007A4637">
            <w:pPr>
              <w:pStyle w:val="TableParagraph"/>
              <w:rPr>
                <w:rFonts w:ascii="Times New Roman"/>
                <w:sz w:val="16"/>
              </w:rPr>
            </w:pPr>
          </w:p>
        </w:tc>
      </w:tr>
      <w:tr w:rsidR="00F65DFC" w14:paraId="1E85D53A" w14:textId="77777777" w:rsidTr="007A4637">
        <w:trPr>
          <w:trHeight w:val="285"/>
        </w:trPr>
        <w:tc>
          <w:tcPr>
            <w:tcW w:w="660" w:type="dxa"/>
            <w:tcBorders>
              <w:top w:val="single" w:sz="6" w:space="0" w:color="000000"/>
            </w:tcBorders>
          </w:tcPr>
          <w:p w14:paraId="43DCEA2F" w14:textId="77777777" w:rsidR="00F65DFC" w:rsidRDefault="00F65DFC" w:rsidP="007A4637">
            <w:pPr>
              <w:pStyle w:val="TableParagraph"/>
              <w:spacing w:before="104" w:line="162" w:lineRule="exact"/>
              <w:ind w:left="79"/>
              <w:rPr>
                <w:sz w:val="16"/>
              </w:rPr>
            </w:pPr>
            <w:r>
              <w:rPr>
                <w:w w:val="84"/>
                <w:sz w:val="16"/>
              </w:rPr>
              <w:t>1</w:t>
            </w:r>
          </w:p>
        </w:tc>
        <w:tc>
          <w:tcPr>
            <w:tcW w:w="3653" w:type="dxa"/>
            <w:tcBorders>
              <w:top w:val="single" w:sz="6" w:space="0" w:color="000000"/>
            </w:tcBorders>
          </w:tcPr>
          <w:p w14:paraId="0D10F680" w14:textId="77777777" w:rsidR="00F65DFC" w:rsidRDefault="00F65DFC" w:rsidP="007A4637">
            <w:pPr>
              <w:pStyle w:val="TableParagraph"/>
              <w:spacing w:before="104" w:line="162" w:lineRule="exact"/>
              <w:ind w:left="114"/>
              <w:rPr>
                <w:sz w:val="16"/>
              </w:rPr>
            </w:pPr>
            <w:r>
              <w:rPr>
                <w:w w:val="95"/>
                <w:sz w:val="16"/>
              </w:rPr>
              <w:t>Able</w:t>
            </w:r>
            <w:r>
              <w:rPr>
                <w:spacing w:val="10"/>
                <w:w w:val="95"/>
                <w:sz w:val="16"/>
              </w:rPr>
              <w:t xml:space="preserve"> </w:t>
            </w:r>
            <w:r>
              <w:rPr>
                <w:w w:val="95"/>
                <w:sz w:val="16"/>
              </w:rPr>
              <w:t>to</w:t>
            </w:r>
            <w:r>
              <w:rPr>
                <w:spacing w:val="11"/>
                <w:w w:val="95"/>
                <w:sz w:val="16"/>
              </w:rPr>
              <w:t xml:space="preserve"> </w:t>
            </w:r>
            <w:r>
              <w:rPr>
                <w:w w:val="95"/>
                <w:sz w:val="16"/>
              </w:rPr>
              <w:t>adapt</w:t>
            </w:r>
            <w:r>
              <w:rPr>
                <w:spacing w:val="10"/>
                <w:w w:val="95"/>
                <w:sz w:val="16"/>
              </w:rPr>
              <w:t xml:space="preserve"> </w:t>
            </w:r>
            <w:r>
              <w:rPr>
                <w:w w:val="95"/>
                <w:sz w:val="16"/>
              </w:rPr>
              <w:t>to</w:t>
            </w:r>
            <w:r>
              <w:rPr>
                <w:spacing w:val="12"/>
                <w:w w:val="95"/>
                <w:sz w:val="16"/>
              </w:rPr>
              <w:t xml:space="preserve"> </w:t>
            </w:r>
            <w:r>
              <w:rPr>
                <w:w w:val="95"/>
                <w:sz w:val="16"/>
              </w:rPr>
              <w:t>change</w:t>
            </w:r>
          </w:p>
        </w:tc>
        <w:tc>
          <w:tcPr>
            <w:tcW w:w="583" w:type="dxa"/>
            <w:tcBorders>
              <w:top w:val="single" w:sz="6" w:space="0" w:color="000000"/>
            </w:tcBorders>
          </w:tcPr>
          <w:p w14:paraId="5ECD55C7" w14:textId="77777777" w:rsidR="00F65DFC" w:rsidRDefault="00F65DFC" w:rsidP="007A4637">
            <w:pPr>
              <w:pStyle w:val="TableParagraph"/>
              <w:spacing w:before="104" w:line="162" w:lineRule="exact"/>
              <w:ind w:left="163"/>
              <w:rPr>
                <w:sz w:val="16"/>
              </w:rPr>
            </w:pPr>
            <w:r>
              <w:rPr>
                <w:w w:val="95"/>
                <w:sz w:val="16"/>
              </w:rPr>
              <w:t>3.52</w:t>
            </w:r>
          </w:p>
        </w:tc>
        <w:tc>
          <w:tcPr>
            <w:tcW w:w="558" w:type="dxa"/>
            <w:tcBorders>
              <w:top w:val="single" w:sz="6" w:space="0" w:color="000000"/>
            </w:tcBorders>
          </w:tcPr>
          <w:p w14:paraId="0660A5DD" w14:textId="77777777" w:rsidR="00F65DFC" w:rsidRDefault="00F65DFC" w:rsidP="007A4637">
            <w:pPr>
              <w:pStyle w:val="TableParagraph"/>
              <w:spacing w:before="104" w:line="162" w:lineRule="exact"/>
              <w:ind w:left="113"/>
              <w:rPr>
                <w:sz w:val="16"/>
              </w:rPr>
            </w:pPr>
            <w:r>
              <w:rPr>
                <w:w w:val="95"/>
                <w:sz w:val="16"/>
              </w:rPr>
              <w:t>0.661</w:t>
            </w:r>
          </w:p>
        </w:tc>
        <w:tc>
          <w:tcPr>
            <w:tcW w:w="1460" w:type="dxa"/>
            <w:tcBorders>
              <w:top w:val="single" w:sz="6" w:space="0" w:color="000000"/>
            </w:tcBorders>
          </w:tcPr>
          <w:p w14:paraId="44C7B859" w14:textId="77777777" w:rsidR="00F65DFC" w:rsidRDefault="00F65DFC" w:rsidP="007A4637">
            <w:pPr>
              <w:pStyle w:val="TableParagraph"/>
              <w:spacing w:before="104" w:line="162" w:lineRule="exact"/>
              <w:ind w:left="113" w:right="1"/>
              <w:jc w:val="center"/>
              <w:rPr>
                <w:sz w:val="16"/>
              </w:rPr>
            </w:pPr>
            <w:r>
              <w:rPr>
                <w:w w:val="95"/>
                <w:sz w:val="16"/>
              </w:rPr>
              <w:t>0.40</w:t>
            </w:r>
          </w:p>
        </w:tc>
        <w:tc>
          <w:tcPr>
            <w:tcW w:w="120" w:type="dxa"/>
          </w:tcPr>
          <w:p w14:paraId="3CF7F67D" w14:textId="77777777" w:rsidR="00F65DFC" w:rsidRDefault="00F65DFC" w:rsidP="007A4637">
            <w:pPr>
              <w:pStyle w:val="TableParagraph"/>
              <w:rPr>
                <w:rFonts w:ascii="Times New Roman"/>
                <w:sz w:val="16"/>
              </w:rPr>
            </w:pPr>
          </w:p>
        </w:tc>
      </w:tr>
      <w:tr w:rsidR="00F65DFC" w14:paraId="6A7D1586" w14:textId="77777777" w:rsidTr="007A4637">
        <w:trPr>
          <w:trHeight w:val="179"/>
        </w:trPr>
        <w:tc>
          <w:tcPr>
            <w:tcW w:w="660" w:type="dxa"/>
          </w:tcPr>
          <w:p w14:paraId="0F51D49C" w14:textId="77777777" w:rsidR="00F65DFC" w:rsidRDefault="00F65DFC" w:rsidP="007A4637">
            <w:pPr>
              <w:pStyle w:val="TableParagraph"/>
              <w:spacing w:line="159" w:lineRule="exact"/>
              <w:ind w:left="79"/>
              <w:rPr>
                <w:sz w:val="16"/>
              </w:rPr>
            </w:pPr>
            <w:r>
              <w:rPr>
                <w:w w:val="84"/>
                <w:sz w:val="16"/>
              </w:rPr>
              <w:t>2</w:t>
            </w:r>
          </w:p>
        </w:tc>
        <w:tc>
          <w:tcPr>
            <w:tcW w:w="3653" w:type="dxa"/>
          </w:tcPr>
          <w:p w14:paraId="51562389" w14:textId="77777777" w:rsidR="00F65DFC" w:rsidRDefault="00F65DFC" w:rsidP="007A4637">
            <w:pPr>
              <w:pStyle w:val="TableParagraph"/>
              <w:spacing w:line="159" w:lineRule="exact"/>
              <w:ind w:left="114"/>
              <w:rPr>
                <w:sz w:val="16"/>
              </w:rPr>
            </w:pPr>
            <w:r>
              <w:rPr>
                <w:w w:val="95"/>
                <w:sz w:val="16"/>
              </w:rPr>
              <w:t>Close</w:t>
            </w:r>
            <w:r>
              <w:rPr>
                <w:spacing w:val="-2"/>
                <w:w w:val="95"/>
                <w:sz w:val="16"/>
              </w:rPr>
              <w:t xml:space="preserve"> </w:t>
            </w:r>
            <w:r>
              <w:rPr>
                <w:w w:val="95"/>
                <w:sz w:val="16"/>
              </w:rPr>
              <w:t>and</w:t>
            </w:r>
            <w:r>
              <w:rPr>
                <w:spacing w:val="-2"/>
                <w:w w:val="95"/>
                <w:sz w:val="16"/>
              </w:rPr>
              <w:t xml:space="preserve"> </w:t>
            </w:r>
            <w:r>
              <w:rPr>
                <w:w w:val="95"/>
                <w:sz w:val="16"/>
              </w:rPr>
              <w:t>secure</w:t>
            </w:r>
            <w:r>
              <w:rPr>
                <w:spacing w:val="-1"/>
                <w:w w:val="95"/>
                <w:sz w:val="16"/>
              </w:rPr>
              <w:t xml:space="preserve"> </w:t>
            </w:r>
            <w:r>
              <w:rPr>
                <w:w w:val="95"/>
                <w:sz w:val="16"/>
              </w:rPr>
              <w:t>relationships</w:t>
            </w:r>
          </w:p>
        </w:tc>
        <w:tc>
          <w:tcPr>
            <w:tcW w:w="583" w:type="dxa"/>
          </w:tcPr>
          <w:p w14:paraId="709E27D1" w14:textId="77777777" w:rsidR="00F65DFC" w:rsidRDefault="00F65DFC" w:rsidP="007A4637">
            <w:pPr>
              <w:pStyle w:val="TableParagraph"/>
              <w:spacing w:line="159" w:lineRule="exact"/>
              <w:ind w:left="163"/>
              <w:rPr>
                <w:sz w:val="16"/>
              </w:rPr>
            </w:pPr>
            <w:r>
              <w:rPr>
                <w:w w:val="95"/>
                <w:sz w:val="16"/>
              </w:rPr>
              <w:t>3.34</w:t>
            </w:r>
          </w:p>
        </w:tc>
        <w:tc>
          <w:tcPr>
            <w:tcW w:w="558" w:type="dxa"/>
          </w:tcPr>
          <w:p w14:paraId="7E6A7016" w14:textId="77777777" w:rsidR="00F65DFC" w:rsidRDefault="00F65DFC" w:rsidP="007A4637">
            <w:pPr>
              <w:pStyle w:val="TableParagraph"/>
              <w:spacing w:line="159" w:lineRule="exact"/>
              <w:ind w:left="113"/>
              <w:rPr>
                <w:sz w:val="16"/>
              </w:rPr>
            </w:pPr>
            <w:r>
              <w:rPr>
                <w:w w:val="95"/>
                <w:sz w:val="16"/>
              </w:rPr>
              <w:t>0.741</w:t>
            </w:r>
          </w:p>
        </w:tc>
        <w:tc>
          <w:tcPr>
            <w:tcW w:w="1460" w:type="dxa"/>
          </w:tcPr>
          <w:p w14:paraId="545B033D" w14:textId="77777777" w:rsidR="00F65DFC" w:rsidRDefault="00F65DFC" w:rsidP="007A4637">
            <w:pPr>
              <w:pStyle w:val="TableParagraph"/>
              <w:spacing w:line="159" w:lineRule="exact"/>
              <w:ind w:left="113" w:right="1"/>
              <w:jc w:val="center"/>
              <w:rPr>
                <w:sz w:val="16"/>
              </w:rPr>
            </w:pPr>
            <w:r>
              <w:rPr>
                <w:w w:val="95"/>
                <w:sz w:val="16"/>
              </w:rPr>
              <w:t>0.39</w:t>
            </w:r>
          </w:p>
        </w:tc>
        <w:tc>
          <w:tcPr>
            <w:tcW w:w="120" w:type="dxa"/>
          </w:tcPr>
          <w:p w14:paraId="42980FC1" w14:textId="77777777" w:rsidR="00F65DFC" w:rsidRDefault="00F65DFC" w:rsidP="007A4637">
            <w:pPr>
              <w:pStyle w:val="TableParagraph"/>
              <w:rPr>
                <w:rFonts w:ascii="Times New Roman"/>
                <w:sz w:val="12"/>
              </w:rPr>
            </w:pPr>
          </w:p>
        </w:tc>
      </w:tr>
      <w:tr w:rsidR="00F65DFC" w14:paraId="25756531" w14:textId="77777777" w:rsidTr="007A4637">
        <w:trPr>
          <w:trHeight w:val="179"/>
        </w:trPr>
        <w:tc>
          <w:tcPr>
            <w:tcW w:w="660" w:type="dxa"/>
          </w:tcPr>
          <w:p w14:paraId="5BAFB668" w14:textId="77777777" w:rsidR="00F65DFC" w:rsidRDefault="00F65DFC" w:rsidP="007A4637">
            <w:pPr>
              <w:pStyle w:val="TableParagraph"/>
              <w:spacing w:line="159" w:lineRule="exact"/>
              <w:ind w:left="79"/>
              <w:rPr>
                <w:sz w:val="16"/>
              </w:rPr>
            </w:pPr>
            <w:r>
              <w:rPr>
                <w:w w:val="84"/>
                <w:sz w:val="16"/>
              </w:rPr>
              <w:t>3</w:t>
            </w:r>
          </w:p>
        </w:tc>
        <w:tc>
          <w:tcPr>
            <w:tcW w:w="3653" w:type="dxa"/>
          </w:tcPr>
          <w:p w14:paraId="7EF58FDD" w14:textId="77777777" w:rsidR="00F65DFC" w:rsidRDefault="00F65DFC" w:rsidP="007A4637">
            <w:pPr>
              <w:pStyle w:val="TableParagraph"/>
              <w:spacing w:line="159" w:lineRule="exact"/>
              <w:ind w:left="114"/>
              <w:rPr>
                <w:sz w:val="16"/>
              </w:rPr>
            </w:pPr>
            <w:r>
              <w:rPr>
                <w:w w:val="95"/>
                <w:sz w:val="16"/>
              </w:rPr>
              <w:t>Sometimes</w:t>
            </w:r>
            <w:r>
              <w:rPr>
                <w:spacing w:val="6"/>
                <w:w w:val="95"/>
                <w:sz w:val="16"/>
              </w:rPr>
              <w:t xml:space="preserve"> </w:t>
            </w:r>
            <w:r>
              <w:rPr>
                <w:w w:val="95"/>
                <w:sz w:val="16"/>
              </w:rPr>
              <w:t>fate</w:t>
            </w:r>
            <w:r>
              <w:rPr>
                <w:spacing w:val="7"/>
                <w:w w:val="95"/>
                <w:sz w:val="16"/>
              </w:rPr>
              <w:t xml:space="preserve"> </w:t>
            </w:r>
            <w:r>
              <w:rPr>
                <w:w w:val="95"/>
                <w:sz w:val="16"/>
              </w:rPr>
              <w:t>and</w:t>
            </w:r>
            <w:r>
              <w:rPr>
                <w:spacing w:val="6"/>
                <w:w w:val="95"/>
                <w:sz w:val="16"/>
              </w:rPr>
              <w:t xml:space="preserve"> </w:t>
            </w:r>
            <w:r>
              <w:rPr>
                <w:w w:val="95"/>
                <w:sz w:val="16"/>
              </w:rPr>
              <w:t>God</w:t>
            </w:r>
            <w:r>
              <w:rPr>
                <w:spacing w:val="6"/>
                <w:w w:val="95"/>
                <w:sz w:val="16"/>
              </w:rPr>
              <w:t xml:space="preserve"> </w:t>
            </w:r>
            <w:r>
              <w:rPr>
                <w:w w:val="95"/>
                <w:sz w:val="16"/>
              </w:rPr>
              <w:t>can</w:t>
            </w:r>
            <w:r>
              <w:rPr>
                <w:spacing w:val="6"/>
                <w:w w:val="95"/>
                <w:sz w:val="16"/>
              </w:rPr>
              <w:t xml:space="preserve"> </w:t>
            </w:r>
            <w:r>
              <w:rPr>
                <w:w w:val="95"/>
                <w:sz w:val="16"/>
              </w:rPr>
              <w:t>help</w:t>
            </w:r>
          </w:p>
        </w:tc>
        <w:tc>
          <w:tcPr>
            <w:tcW w:w="583" w:type="dxa"/>
          </w:tcPr>
          <w:p w14:paraId="2D9D1A8E" w14:textId="77777777" w:rsidR="00F65DFC" w:rsidRDefault="00F65DFC" w:rsidP="007A4637">
            <w:pPr>
              <w:pStyle w:val="TableParagraph"/>
              <w:spacing w:line="159" w:lineRule="exact"/>
              <w:ind w:left="163"/>
              <w:rPr>
                <w:sz w:val="16"/>
              </w:rPr>
            </w:pPr>
            <w:r>
              <w:rPr>
                <w:w w:val="95"/>
                <w:sz w:val="16"/>
              </w:rPr>
              <w:t>2.05</w:t>
            </w:r>
          </w:p>
        </w:tc>
        <w:tc>
          <w:tcPr>
            <w:tcW w:w="558" w:type="dxa"/>
          </w:tcPr>
          <w:p w14:paraId="7F108A6E" w14:textId="77777777" w:rsidR="00F65DFC" w:rsidRDefault="00F65DFC" w:rsidP="007A4637">
            <w:pPr>
              <w:pStyle w:val="TableParagraph"/>
              <w:spacing w:line="159" w:lineRule="exact"/>
              <w:ind w:left="113"/>
              <w:rPr>
                <w:sz w:val="16"/>
              </w:rPr>
            </w:pPr>
            <w:r>
              <w:rPr>
                <w:w w:val="95"/>
                <w:sz w:val="16"/>
              </w:rPr>
              <w:t>1.341</w:t>
            </w:r>
          </w:p>
        </w:tc>
        <w:tc>
          <w:tcPr>
            <w:tcW w:w="1460" w:type="dxa"/>
          </w:tcPr>
          <w:p w14:paraId="389B9DCA" w14:textId="77777777" w:rsidR="00F65DFC" w:rsidRDefault="00F65DFC" w:rsidP="007A4637">
            <w:pPr>
              <w:pStyle w:val="TableParagraph"/>
              <w:spacing w:line="159" w:lineRule="exact"/>
              <w:ind w:left="113" w:right="76"/>
              <w:jc w:val="center"/>
              <w:rPr>
                <w:sz w:val="16"/>
              </w:rPr>
            </w:pPr>
            <w:r>
              <w:rPr>
                <w:w w:val="95"/>
                <w:sz w:val="16"/>
              </w:rPr>
              <w:t>0.5</w:t>
            </w:r>
          </w:p>
        </w:tc>
        <w:tc>
          <w:tcPr>
            <w:tcW w:w="120" w:type="dxa"/>
          </w:tcPr>
          <w:p w14:paraId="450123BA" w14:textId="77777777" w:rsidR="00F65DFC" w:rsidRDefault="00F65DFC" w:rsidP="007A4637">
            <w:pPr>
              <w:pStyle w:val="TableParagraph"/>
              <w:rPr>
                <w:rFonts w:ascii="Times New Roman"/>
                <w:sz w:val="12"/>
              </w:rPr>
            </w:pPr>
          </w:p>
        </w:tc>
      </w:tr>
      <w:tr w:rsidR="00F65DFC" w14:paraId="37665920" w14:textId="77777777" w:rsidTr="007A4637">
        <w:trPr>
          <w:trHeight w:val="179"/>
        </w:trPr>
        <w:tc>
          <w:tcPr>
            <w:tcW w:w="660" w:type="dxa"/>
          </w:tcPr>
          <w:p w14:paraId="23B7C08D" w14:textId="77777777" w:rsidR="00F65DFC" w:rsidRDefault="00F65DFC" w:rsidP="007A4637">
            <w:pPr>
              <w:pStyle w:val="TableParagraph"/>
              <w:spacing w:line="160" w:lineRule="exact"/>
              <w:ind w:left="79"/>
              <w:rPr>
                <w:sz w:val="16"/>
              </w:rPr>
            </w:pPr>
            <w:r>
              <w:rPr>
                <w:w w:val="84"/>
                <w:sz w:val="16"/>
              </w:rPr>
              <w:t>4</w:t>
            </w:r>
          </w:p>
        </w:tc>
        <w:tc>
          <w:tcPr>
            <w:tcW w:w="3653" w:type="dxa"/>
          </w:tcPr>
          <w:p w14:paraId="5B629A18" w14:textId="77777777" w:rsidR="00F65DFC" w:rsidRDefault="00F65DFC" w:rsidP="007A4637">
            <w:pPr>
              <w:pStyle w:val="TableParagraph"/>
              <w:spacing w:line="160" w:lineRule="exact"/>
              <w:ind w:left="114"/>
              <w:rPr>
                <w:sz w:val="16"/>
              </w:rPr>
            </w:pPr>
            <w:r>
              <w:rPr>
                <w:w w:val="95"/>
                <w:sz w:val="16"/>
              </w:rPr>
              <w:t>Can</w:t>
            </w:r>
            <w:r>
              <w:rPr>
                <w:spacing w:val="3"/>
                <w:w w:val="95"/>
                <w:sz w:val="16"/>
              </w:rPr>
              <w:t xml:space="preserve"> </w:t>
            </w:r>
            <w:r>
              <w:rPr>
                <w:w w:val="95"/>
                <w:sz w:val="16"/>
              </w:rPr>
              <w:t>deal</w:t>
            </w:r>
            <w:r>
              <w:rPr>
                <w:spacing w:val="3"/>
                <w:w w:val="95"/>
                <w:sz w:val="16"/>
              </w:rPr>
              <w:t xml:space="preserve"> </w:t>
            </w:r>
            <w:r>
              <w:rPr>
                <w:w w:val="95"/>
                <w:sz w:val="16"/>
              </w:rPr>
              <w:t>with</w:t>
            </w:r>
            <w:r>
              <w:rPr>
                <w:spacing w:val="4"/>
                <w:w w:val="95"/>
                <w:sz w:val="16"/>
              </w:rPr>
              <w:t xml:space="preserve"> </w:t>
            </w:r>
            <w:r>
              <w:rPr>
                <w:w w:val="95"/>
                <w:sz w:val="16"/>
              </w:rPr>
              <w:t>whatever</w:t>
            </w:r>
            <w:r>
              <w:rPr>
                <w:spacing w:val="3"/>
                <w:w w:val="95"/>
                <w:sz w:val="16"/>
              </w:rPr>
              <w:t xml:space="preserve"> </w:t>
            </w:r>
            <w:r>
              <w:rPr>
                <w:w w:val="95"/>
                <w:sz w:val="16"/>
              </w:rPr>
              <w:t>comes</w:t>
            </w:r>
          </w:p>
        </w:tc>
        <w:tc>
          <w:tcPr>
            <w:tcW w:w="583" w:type="dxa"/>
          </w:tcPr>
          <w:p w14:paraId="70BE5F63" w14:textId="77777777" w:rsidR="00F65DFC" w:rsidRDefault="00F65DFC" w:rsidP="007A4637">
            <w:pPr>
              <w:pStyle w:val="TableParagraph"/>
              <w:spacing w:line="160" w:lineRule="exact"/>
              <w:ind w:left="163"/>
              <w:rPr>
                <w:sz w:val="16"/>
              </w:rPr>
            </w:pPr>
            <w:r>
              <w:rPr>
                <w:w w:val="95"/>
                <w:sz w:val="16"/>
              </w:rPr>
              <w:t>3.11</w:t>
            </w:r>
          </w:p>
        </w:tc>
        <w:tc>
          <w:tcPr>
            <w:tcW w:w="558" w:type="dxa"/>
          </w:tcPr>
          <w:p w14:paraId="525E3C8B" w14:textId="77777777" w:rsidR="00F65DFC" w:rsidRDefault="00F65DFC" w:rsidP="007A4637">
            <w:pPr>
              <w:pStyle w:val="TableParagraph"/>
              <w:spacing w:line="160" w:lineRule="exact"/>
              <w:ind w:left="113"/>
              <w:rPr>
                <w:sz w:val="16"/>
              </w:rPr>
            </w:pPr>
            <w:r>
              <w:rPr>
                <w:w w:val="95"/>
                <w:sz w:val="16"/>
              </w:rPr>
              <w:t>0.877</w:t>
            </w:r>
          </w:p>
        </w:tc>
        <w:tc>
          <w:tcPr>
            <w:tcW w:w="1460" w:type="dxa"/>
          </w:tcPr>
          <w:p w14:paraId="044589C6" w14:textId="77777777" w:rsidR="00F65DFC" w:rsidRDefault="00F65DFC" w:rsidP="007A4637">
            <w:pPr>
              <w:pStyle w:val="TableParagraph"/>
              <w:spacing w:line="160" w:lineRule="exact"/>
              <w:ind w:left="113" w:right="1"/>
              <w:jc w:val="center"/>
              <w:rPr>
                <w:sz w:val="16"/>
              </w:rPr>
            </w:pPr>
            <w:r>
              <w:rPr>
                <w:w w:val="95"/>
                <w:sz w:val="16"/>
              </w:rPr>
              <w:t>0.51</w:t>
            </w:r>
          </w:p>
        </w:tc>
        <w:tc>
          <w:tcPr>
            <w:tcW w:w="120" w:type="dxa"/>
          </w:tcPr>
          <w:p w14:paraId="7AC32C45" w14:textId="77777777" w:rsidR="00F65DFC" w:rsidRDefault="00F65DFC" w:rsidP="007A4637">
            <w:pPr>
              <w:pStyle w:val="TableParagraph"/>
              <w:rPr>
                <w:rFonts w:ascii="Times New Roman"/>
                <w:sz w:val="12"/>
              </w:rPr>
            </w:pPr>
          </w:p>
        </w:tc>
      </w:tr>
      <w:tr w:rsidR="00F65DFC" w14:paraId="6040DD86" w14:textId="77777777" w:rsidTr="007A4637">
        <w:trPr>
          <w:trHeight w:val="179"/>
        </w:trPr>
        <w:tc>
          <w:tcPr>
            <w:tcW w:w="660" w:type="dxa"/>
          </w:tcPr>
          <w:p w14:paraId="6C75F6CA" w14:textId="77777777" w:rsidR="00F65DFC" w:rsidRDefault="00F65DFC" w:rsidP="007A4637">
            <w:pPr>
              <w:pStyle w:val="TableParagraph"/>
              <w:spacing w:line="160" w:lineRule="exact"/>
              <w:ind w:left="79"/>
              <w:rPr>
                <w:sz w:val="16"/>
              </w:rPr>
            </w:pPr>
            <w:r>
              <w:rPr>
                <w:w w:val="84"/>
                <w:sz w:val="16"/>
              </w:rPr>
              <w:t>5</w:t>
            </w:r>
          </w:p>
        </w:tc>
        <w:tc>
          <w:tcPr>
            <w:tcW w:w="3653" w:type="dxa"/>
          </w:tcPr>
          <w:p w14:paraId="04899F3E" w14:textId="77777777" w:rsidR="00F65DFC" w:rsidRDefault="00F65DFC" w:rsidP="007A4637">
            <w:pPr>
              <w:pStyle w:val="TableParagraph"/>
              <w:spacing w:line="160" w:lineRule="exact"/>
              <w:ind w:left="114"/>
              <w:rPr>
                <w:sz w:val="16"/>
              </w:rPr>
            </w:pPr>
            <w:r>
              <w:rPr>
                <w:w w:val="95"/>
                <w:sz w:val="16"/>
              </w:rPr>
              <w:t>Past</w:t>
            </w:r>
            <w:r>
              <w:rPr>
                <w:spacing w:val="4"/>
                <w:w w:val="95"/>
                <w:sz w:val="16"/>
              </w:rPr>
              <w:t xml:space="preserve"> </w:t>
            </w:r>
            <w:r>
              <w:rPr>
                <w:w w:val="95"/>
                <w:sz w:val="16"/>
              </w:rPr>
              <w:t>success</w:t>
            </w:r>
            <w:r>
              <w:rPr>
                <w:spacing w:val="5"/>
                <w:w w:val="95"/>
                <w:sz w:val="16"/>
              </w:rPr>
              <w:t xml:space="preserve"> </w:t>
            </w:r>
            <w:r>
              <w:rPr>
                <w:w w:val="95"/>
                <w:sz w:val="16"/>
              </w:rPr>
              <w:t>gives</w:t>
            </w:r>
            <w:r>
              <w:rPr>
                <w:spacing w:val="5"/>
                <w:w w:val="95"/>
                <w:sz w:val="16"/>
              </w:rPr>
              <w:t xml:space="preserve"> </w:t>
            </w:r>
            <w:r>
              <w:rPr>
                <w:w w:val="95"/>
                <w:sz w:val="16"/>
              </w:rPr>
              <w:t>confidence</w:t>
            </w:r>
            <w:r>
              <w:rPr>
                <w:spacing w:val="4"/>
                <w:w w:val="95"/>
                <w:sz w:val="16"/>
              </w:rPr>
              <w:t xml:space="preserve"> </w:t>
            </w:r>
            <w:r>
              <w:rPr>
                <w:w w:val="95"/>
                <w:sz w:val="16"/>
              </w:rPr>
              <w:t>for</w:t>
            </w:r>
            <w:r>
              <w:rPr>
                <w:spacing w:val="6"/>
                <w:w w:val="95"/>
                <w:sz w:val="16"/>
              </w:rPr>
              <w:t xml:space="preserve"> </w:t>
            </w:r>
            <w:r>
              <w:rPr>
                <w:w w:val="95"/>
                <w:sz w:val="16"/>
              </w:rPr>
              <w:t>new</w:t>
            </w:r>
            <w:r>
              <w:rPr>
                <w:spacing w:val="5"/>
                <w:w w:val="95"/>
                <w:sz w:val="16"/>
              </w:rPr>
              <w:t xml:space="preserve"> </w:t>
            </w:r>
            <w:r>
              <w:rPr>
                <w:w w:val="95"/>
                <w:sz w:val="16"/>
              </w:rPr>
              <w:t>challenge</w:t>
            </w:r>
          </w:p>
        </w:tc>
        <w:tc>
          <w:tcPr>
            <w:tcW w:w="583" w:type="dxa"/>
          </w:tcPr>
          <w:p w14:paraId="2EAECABE" w14:textId="77777777" w:rsidR="00F65DFC" w:rsidRDefault="00F65DFC" w:rsidP="007A4637">
            <w:pPr>
              <w:pStyle w:val="TableParagraph"/>
              <w:spacing w:line="160" w:lineRule="exact"/>
              <w:ind w:left="163"/>
              <w:rPr>
                <w:sz w:val="16"/>
              </w:rPr>
            </w:pPr>
            <w:r>
              <w:rPr>
                <w:w w:val="95"/>
                <w:sz w:val="16"/>
              </w:rPr>
              <w:t>3.24</w:t>
            </w:r>
          </w:p>
        </w:tc>
        <w:tc>
          <w:tcPr>
            <w:tcW w:w="558" w:type="dxa"/>
          </w:tcPr>
          <w:p w14:paraId="02A49DDD" w14:textId="77777777" w:rsidR="00F65DFC" w:rsidRDefault="00F65DFC" w:rsidP="007A4637">
            <w:pPr>
              <w:pStyle w:val="TableParagraph"/>
              <w:spacing w:line="160" w:lineRule="exact"/>
              <w:ind w:left="113"/>
              <w:rPr>
                <w:sz w:val="16"/>
              </w:rPr>
            </w:pPr>
            <w:r>
              <w:rPr>
                <w:w w:val="95"/>
                <w:sz w:val="16"/>
              </w:rPr>
              <w:t>0.821</w:t>
            </w:r>
          </w:p>
        </w:tc>
        <w:tc>
          <w:tcPr>
            <w:tcW w:w="1460" w:type="dxa"/>
          </w:tcPr>
          <w:p w14:paraId="0048DBAA" w14:textId="77777777" w:rsidR="00F65DFC" w:rsidRDefault="00F65DFC" w:rsidP="007A4637">
            <w:pPr>
              <w:pStyle w:val="TableParagraph"/>
              <w:spacing w:line="160" w:lineRule="exact"/>
              <w:ind w:left="113" w:right="1"/>
              <w:jc w:val="center"/>
              <w:rPr>
                <w:sz w:val="16"/>
              </w:rPr>
            </w:pPr>
            <w:r>
              <w:rPr>
                <w:w w:val="95"/>
                <w:sz w:val="16"/>
              </w:rPr>
              <w:t>0.40</w:t>
            </w:r>
          </w:p>
        </w:tc>
        <w:tc>
          <w:tcPr>
            <w:tcW w:w="120" w:type="dxa"/>
          </w:tcPr>
          <w:p w14:paraId="061FBAF7" w14:textId="77777777" w:rsidR="00F65DFC" w:rsidRDefault="00F65DFC" w:rsidP="007A4637">
            <w:pPr>
              <w:pStyle w:val="TableParagraph"/>
              <w:rPr>
                <w:rFonts w:ascii="Times New Roman"/>
                <w:sz w:val="12"/>
              </w:rPr>
            </w:pPr>
          </w:p>
        </w:tc>
      </w:tr>
      <w:tr w:rsidR="00F65DFC" w14:paraId="00406263" w14:textId="77777777" w:rsidTr="007A4637">
        <w:trPr>
          <w:trHeight w:val="160"/>
        </w:trPr>
        <w:tc>
          <w:tcPr>
            <w:tcW w:w="660" w:type="dxa"/>
          </w:tcPr>
          <w:p w14:paraId="337F4C06" w14:textId="77777777" w:rsidR="00F65DFC" w:rsidRDefault="00F65DFC" w:rsidP="007A4637">
            <w:pPr>
              <w:pStyle w:val="TableParagraph"/>
              <w:spacing w:line="140" w:lineRule="exact"/>
              <w:ind w:left="79"/>
              <w:rPr>
                <w:sz w:val="16"/>
              </w:rPr>
            </w:pPr>
            <w:r>
              <w:rPr>
                <w:w w:val="84"/>
                <w:sz w:val="16"/>
              </w:rPr>
              <w:t>6</w:t>
            </w:r>
          </w:p>
        </w:tc>
        <w:tc>
          <w:tcPr>
            <w:tcW w:w="3653" w:type="dxa"/>
          </w:tcPr>
          <w:p w14:paraId="35944398" w14:textId="77777777" w:rsidR="00F65DFC" w:rsidRDefault="00F65DFC" w:rsidP="007A4637">
            <w:pPr>
              <w:pStyle w:val="TableParagraph"/>
              <w:spacing w:line="140" w:lineRule="exact"/>
              <w:ind w:left="114"/>
              <w:rPr>
                <w:sz w:val="16"/>
              </w:rPr>
            </w:pPr>
            <w:r>
              <w:rPr>
                <w:w w:val="95"/>
                <w:sz w:val="16"/>
              </w:rPr>
              <w:t>See</w:t>
            </w:r>
            <w:r>
              <w:rPr>
                <w:spacing w:val="5"/>
                <w:w w:val="95"/>
                <w:sz w:val="16"/>
              </w:rPr>
              <w:t xml:space="preserve"> </w:t>
            </w:r>
            <w:r>
              <w:rPr>
                <w:w w:val="95"/>
                <w:sz w:val="16"/>
              </w:rPr>
              <w:t>the</w:t>
            </w:r>
            <w:r>
              <w:rPr>
                <w:spacing w:val="4"/>
                <w:w w:val="95"/>
                <w:sz w:val="16"/>
              </w:rPr>
              <w:t xml:space="preserve"> </w:t>
            </w:r>
            <w:r>
              <w:rPr>
                <w:w w:val="95"/>
                <w:sz w:val="16"/>
              </w:rPr>
              <w:t>humorous</w:t>
            </w:r>
            <w:r>
              <w:rPr>
                <w:spacing w:val="4"/>
                <w:w w:val="95"/>
                <w:sz w:val="16"/>
              </w:rPr>
              <w:t xml:space="preserve"> </w:t>
            </w:r>
            <w:r>
              <w:rPr>
                <w:w w:val="95"/>
                <w:sz w:val="16"/>
              </w:rPr>
              <w:t>side</w:t>
            </w:r>
            <w:r>
              <w:rPr>
                <w:spacing w:val="6"/>
                <w:w w:val="95"/>
                <w:sz w:val="16"/>
              </w:rPr>
              <w:t xml:space="preserve"> </w:t>
            </w:r>
            <w:r>
              <w:rPr>
                <w:w w:val="95"/>
                <w:sz w:val="16"/>
              </w:rPr>
              <w:t>of</w:t>
            </w:r>
            <w:r>
              <w:rPr>
                <w:spacing w:val="4"/>
                <w:w w:val="95"/>
                <w:sz w:val="16"/>
              </w:rPr>
              <w:t xml:space="preserve"> </w:t>
            </w:r>
            <w:r>
              <w:rPr>
                <w:w w:val="95"/>
                <w:sz w:val="16"/>
              </w:rPr>
              <w:t>things</w:t>
            </w:r>
          </w:p>
        </w:tc>
        <w:tc>
          <w:tcPr>
            <w:tcW w:w="583" w:type="dxa"/>
          </w:tcPr>
          <w:p w14:paraId="13F1E7A7" w14:textId="77777777" w:rsidR="00F65DFC" w:rsidRDefault="00F65DFC" w:rsidP="007A4637">
            <w:pPr>
              <w:pStyle w:val="TableParagraph"/>
              <w:spacing w:line="140" w:lineRule="exact"/>
              <w:ind w:left="163"/>
              <w:rPr>
                <w:sz w:val="16"/>
              </w:rPr>
            </w:pPr>
            <w:r>
              <w:rPr>
                <w:w w:val="95"/>
                <w:sz w:val="16"/>
              </w:rPr>
              <w:t>2.56</w:t>
            </w:r>
          </w:p>
        </w:tc>
        <w:tc>
          <w:tcPr>
            <w:tcW w:w="558" w:type="dxa"/>
          </w:tcPr>
          <w:p w14:paraId="4250A572" w14:textId="77777777" w:rsidR="00F65DFC" w:rsidRDefault="00F65DFC" w:rsidP="007A4637">
            <w:pPr>
              <w:pStyle w:val="TableParagraph"/>
              <w:spacing w:line="140" w:lineRule="exact"/>
              <w:ind w:left="113"/>
              <w:rPr>
                <w:sz w:val="16"/>
              </w:rPr>
            </w:pPr>
            <w:r>
              <w:rPr>
                <w:w w:val="95"/>
                <w:sz w:val="16"/>
              </w:rPr>
              <w:t>1.111</w:t>
            </w:r>
          </w:p>
        </w:tc>
        <w:tc>
          <w:tcPr>
            <w:tcW w:w="1460" w:type="dxa"/>
          </w:tcPr>
          <w:p w14:paraId="2AE7CD99" w14:textId="77777777" w:rsidR="00F65DFC" w:rsidRDefault="00F65DFC" w:rsidP="007A4637">
            <w:pPr>
              <w:pStyle w:val="TableParagraph"/>
              <w:spacing w:line="140" w:lineRule="exact"/>
              <w:ind w:left="113" w:right="1"/>
              <w:jc w:val="center"/>
              <w:rPr>
                <w:sz w:val="16"/>
              </w:rPr>
            </w:pPr>
            <w:r>
              <w:rPr>
                <w:w w:val="95"/>
                <w:sz w:val="16"/>
              </w:rPr>
              <w:t>0.55</w:t>
            </w:r>
          </w:p>
        </w:tc>
        <w:tc>
          <w:tcPr>
            <w:tcW w:w="120" w:type="dxa"/>
          </w:tcPr>
          <w:p w14:paraId="19C72F7D" w14:textId="77777777" w:rsidR="00F65DFC" w:rsidRDefault="00F65DFC" w:rsidP="007A4637">
            <w:pPr>
              <w:pStyle w:val="TableParagraph"/>
              <w:rPr>
                <w:rFonts w:ascii="Times New Roman"/>
                <w:sz w:val="10"/>
              </w:rPr>
            </w:pPr>
          </w:p>
        </w:tc>
      </w:tr>
      <w:tr w:rsidR="00F65DFC" w14:paraId="138DA991" w14:textId="77777777" w:rsidTr="007A4637">
        <w:trPr>
          <w:trHeight w:val="153"/>
        </w:trPr>
        <w:tc>
          <w:tcPr>
            <w:tcW w:w="660" w:type="dxa"/>
          </w:tcPr>
          <w:p w14:paraId="410B0FE2" w14:textId="77777777" w:rsidR="00F65DFC" w:rsidRDefault="00F65DFC" w:rsidP="007A4637">
            <w:pPr>
              <w:pStyle w:val="TableParagraph"/>
              <w:spacing w:line="133" w:lineRule="exact"/>
              <w:ind w:left="79"/>
              <w:rPr>
                <w:sz w:val="16"/>
              </w:rPr>
            </w:pPr>
            <w:r>
              <w:rPr>
                <w:w w:val="84"/>
                <w:sz w:val="16"/>
              </w:rPr>
              <w:t>7</w:t>
            </w:r>
          </w:p>
        </w:tc>
        <w:tc>
          <w:tcPr>
            <w:tcW w:w="3653" w:type="dxa"/>
          </w:tcPr>
          <w:p w14:paraId="606D397A" w14:textId="77777777" w:rsidR="00F65DFC" w:rsidRDefault="00F65DFC" w:rsidP="007A4637">
            <w:pPr>
              <w:pStyle w:val="TableParagraph"/>
              <w:spacing w:line="133" w:lineRule="exact"/>
              <w:ind w:left="114"/>
              <w:rPr>
                <w:sz w:val="16"/>
              </w:rPr>
            </w:pPr>
            <w:r>
              <w:rPr>
                <w:w w:val="95"/>
                <w:sz w:val="16"/>
              </w:rPr>
              <w:t>Coping</w:t>
            </w:r>
            <w:r>
              <w:rPr>
                <w:spacing w:val="4"/>
                <w:w w:val="95"/>
                <w:sz w:val="16"/>
              </w:rPr>
              <w:t xml:space="preserve"> </w:t>
            </w:r>
            <w:r>
              <w:rPr>
                <w:w w:val="95"/>
                <w:sz w:val="16"/>
              </w:rPr>
              <w:t>with</w:t>
            </w:r>
            <w:r>
              <w:rPr>
                <w:spacing w:val="5"/>
                <w:w w:val="95"/>
                <w:sz w:val="16"/>
              </w:rPr>
              <w:t xml:space="preserve"> </w:t>
            </w:r>
            <w:r>
              <w:rPr>
                <w:w w:val="95"/>
                <w:sz w:val="16"/>
              </w:rPr>
              <w:t>stress</w:t>
            </w:r>
            <w:r>
              <w:rPr>
                <w:spacing w:val="5"/>
                <w:w w:val="95"/>
                <w:sz w:val="16"/>
              </w:rPr>
              <w:t xml:space="preserve"> </w:t>
            </w:r>
            <w:r>
              <w:rPr>
                <w:w w:val="95"/>
                <w:sz w:val="16"/>
              </w:rPr>
              <w:t>make</w:t>
            </w:r>
            <w:r>
              <w:rPr>
                <w:spacing w:val="4"/>
                <w:w w:val="95"/>
                <w:sz w:val="16"/>
              </w:rPr>
              <w:t xml:space="preserve"> </w:t>
            </w:r>
            <w:r>
              <w:rPr>
                <w:w w:val="95"/>
                <w:sz w:val="16"/>
              </w:rPr>
              <w:t>stronger</w:t>
            </w:r>
          </w:p>
        </w:tc>
        <w:tc>
          <w:tcPr>
            <w:tcW w:w="583" w:type="dxa"/>
          </w:tcPr>
          <w:p w14:paraId="5942E685" w14:textId="77777777" w:rsidR="00F65DFC" w:rsidRDefault="00F65DFC" w:rsidP="007A4637">
            <w:pPr>
              <w:pStyle w:val="TableParagraph"/>
              <w:spacing w:line="133" w:lineRule="exact"/>
              <w:ind w:left="163"/>
              <w:rPr>
                <w:sz w:val="16"/>
              </w:rPr>
            </w:pPr>
            <w:r>
              <w:rPr>
                <w:w w:val="95"/>
                <w:sz w:val="16"/>
              </w:rPr>
              <w:t>3.06</w:t>
            </w:r>
          </w:p>
        </w:tc>
        <w:tc>
          <w:tcPr>
            <w:tcW w:w="558" w:type="dxa"/>
          </w:tcPr>
          <w:p w14:paraId="7692570D" w14:textId="77777777" w:rsidR="00F65DFC" w:rsidRDefault="00F65DFC" w:rsidP="007A4637">
            <w:pPr>
              <w:pStyle w:val="TableParagraph"/>
              <w:spacing w:line="133" w:lineRule="exact"/>
              <w:ind w:left="113"/>
              <w:rPr>
                <w:sz w:val="16"/>
              </w:rPr>
            </w:pPr>
            <w:r>
              <w:rPr>
                <w:w w:val="95"/>
                <w:sz w:val="16"/>
              </w:rPr>
              <w:t>0.856</w:t>
            </w:r>
          </w:p>
        </w:tc>
        <w:tc>
          <w:tcPr>
            <w:tcW w:w="1460" w:type="dxa"/>
          </w:tcPr>
          <w:p w14:paraId="67228CA6" w14:textId="77777777" w:rsidR="00F65DFC" w:rsidRDefault="00F65DFC" w:rsidP="007A4637">
            <w:pPr>
              <w:pStyle w:val="TableParagraph"/>
              <w:spacing w:line="133" w:lineRule="exact"/>
              <w:ind w:left="113" w:right="1"/>
              <w:jc w:val="center"/>
              <w:rPr>
                <w:sz w:val="16"/>
              </w:rPr>
            </w:pPr>
            <w:r>
              <w:rPr>
                <w:w w:val="95"/>
                <w:sz w:val="16"/>
              </w:rPr>
              <w:t>0.54</w:t>
            </w:r>
          </w:p>
        </w:tc>
        <w:tc>
          <w:tcPr>
            <w:tcW w:w="120" w:type="dxa"/>
          </w:tcPr>
          <w:p w14:paraId="337AB11E" w14:textId="77777777" w:rsidR="00F65DFC" w:rsidRDefault="00F65DFC" w:rsidP="007A4637">
            <w:pPr>
              <w:pStyle w:val="TableParagraph"/>
              <w:rPr>
                <w:rFonts w:ascii="Times New Roman"/>
                <w:sz w:val="8"/>
              </w:rPr>
            </w:pPr>
          </w:p>
        </w:tc>
      </w:tr>
      <w:tr w:rsidR="00F65DFC" w14:paraId="0FA00919" w14:textId="77777777" w:rsidTr="007A4637">
        <w:trPr>
          <w:trHeight w:val="179"/>
        </w:trPr>
        <w:tc>
          <w:tcPr>
            <w:tcW w:w="660" w:type="dxa"/>
          </w:tcPr>
          <w:p w14:paraId="3CAEDB52" w14:textId="77777777" w:rsidR="00F65DFC" w:rsidRDefault="00F65DFC" w:rsidP="007A4637">
            <w:pPr>
              <w:pStyle w:val="TableParagraph"/>
              <w:spacing w:line="159" w:lineRule="exact"/>
              <w:ind w:left="79"/>
              <w:rPr>
                <w:sz w:val="16"/>
              </w:rPr>
            </w:pPr>
            <w:r>
              <w:rPr>
                <w:w w:val="84"/>
                <w:sz w:val="16"/>
              </w:rPr>
              <w:t>8</w:t>
            </w:r>
          </w:p>
        </w:tc>
        <w:tc>
          <w:tcPr>
            <w:tcW w:w="3653" w:type="dxa"/>
          </w:tcPr>
          <w:p w14:paraId="1B20A2BF" w14:textId="77777777" w:rsidR="00F65DFC" w:rsidRDefault="00F65DFC" w:rsidP="007A4637">
            <w:pPr>
              <w:pStyle w:val="TableParagraph"/>
              <w:spacing w:line="159" w:lineRule="exact"/>
              <w:ind w:left="114"/>
              <w:rPr>
                <w:sz w:val="16"/>
              </w:rPr>
            </w:pPr>
            <w:r>
              <w:rPr>
                <w:w w:val="95"/>
                <w:sz w:val="16"/>
              </w:rPr>
              <w:t>Tend</w:t>
            </w:r>
            <w:r>
              <w:rPr>
                <w:spacing w:val="6"/>
                <w:w w:val="95"/>
                <w:sz w:val="16"/>
              </w:rPr>
              <w:t xml:space="preserve"> </w:t>
            </w:r>
            <w:r>
              <w:rPr>
                <w:w w:val="95"/>
                <w:sz w:val="16"/>
              </w:rPr>
              <w:t>to</w:t>
            </w:r>
            <w:r>
              <w:rPr>
                <w:spacing w:val="6"/>
                <w:w w:val="95"/>
                <w:sz w:val="16"/>
              </w:rPr>
              <w:t xml:space="preserve"> </w:t>
            </w:r>
            <w:r>
              <w:rPr>
                <w:w w:val="95"/>
                <w:sz w:val="16"/>
              </w:rPr>
              <w:t>bounce</w:t>
            </w:r>
            <w:r>
              <w:rPr>
                <w:spacing w:val="6"/>
                <w:w w:val="95"/>
                <w:sz w:val="16"/>
              </w:rPr>
              <w:t xml:space="preserve"> </w:t>
            </w:r>
            <w:r>
              <w:rPr>
                <w:w w:val="95"/>
                <w:sz w:val="16"/>
              </w:rPr>
              <w:t>back</w:t>
            </w:r>
            <w:r>
              <w:rPr>
                <w:spacing w:val="6"/>
                <w:w w:val="95"/>
                <w:sz w:val="16"/>
              </w:rPr>
              <w:t xml:space="preserve"> </w:t>
            </w:r>
            <w:r>
              <w:rPr>
                <w:w w:val="95"/>
                <w:sz w:val="16"/>
              </w:rPr>
              <w:t>after</w:t>
            </w:r>
            <w:r>
              <w:rPr>
                <w:spacing w:val="6"/>
                <w:w w:val="95"/>
                <w:sz w:val="16"/>
              </w:rPr>
              <w:t xml:space="preserve"> </w:t>
            </w:r>
            <w:r>
              <w:rPr>
                <w:w w:val="95"/>
                <w:sz w:val="16"/>
              </w:rPr>
              <w:t>illness,</w:t>
            </w:r>
            <w:r>
              <w:rPr>
                <w:spacing w:val="6"/>
                <w:w w:val="95"/>
                <w:sz w:val="16"/>
              </w:rPr>
              <w:t xml:space="preserve"> </w:t>
            </w:r>
            <w:r>
              <w:rPr>
                <w:w w:val="95"/>
                <w:sz w:val="16"/>
              </w:rPr>
              <w:t>injury</w:t>
            </w:r>
            <w:r>
              <w:rPr>
                <w:spacing w:val="5"/>
                <w:w w:val="95"/>
                <w:sz w:val="16"/>
              </w:rPr>
              <w:t xml:space="preserve"> </w:t>
            </w:r>
            <w:r>
              <w:rPr>
                <w:w w:val="95"/>
                <w:sz w:val="16"/>
              </w:rPr>
              <w:t>or</w:t>
            </w:r>
            <w:r>
              <w:rPr>
                <w:spacing w:val="6"/>
                <w:w w:val="95"/>
                <w:sz w:val="16"/>
              </w:rPr>
              <w:t xml:space="preserve"> </w:t>
            </w:r>
            <w:r>
              <w:rPr>
                <w:w w:val="95"/>
                <w:sz w:val="16"/>
              </w:rPr>
              <w:t>hardship</w:t>
            </w:r>
          </w:p>
        </w:tc>
        <w:tc>
          <w:tcPr>
            <w:tcW w:w="583" w:type="dxa"/>
          </w:tcPr>
          <w:p w14:paraId="4E103794" w14:textId="77777777" w:rsidR="00F65DFC" w:rsidRDefault="00F65DFC" w:rsidP="007A4637">
            <w:pPr>
              <w:pStyle w:val="TableParagraph"/>
              <w:spacing w:line="159" w:lineRule="exact"/>
              <w:ind w:left="163"/>
              <w:rPr>
                <w:sz w:val="16"/>
              </w:rPr>
            </w:pPr>
            <w:r>
              <w:rPr>
                <w:w w:val="95"/>
                <w:sz w:val="16"/>
              </w:rPr>
              <w:t>3.26</w:t>
            </w:r>
          </w:p>
        </w:tc>
        <w:tc>
          <w:tcPr>
            <w:tcW w:w="558" w:type="dxa"/>
          </w:tcPr>
          <w:p w14:paraId="5F30F976" w14:textId="77777777" w:rsidR="00F65DFC" w:rsidRDefault="00F65DFC" w:rsidP="007A4637">
            <w:pPr>
              <w:pStyle w:val="TableParagraph"/>
              <w:spacing w:line="159" w:lineRule="exact"/>
              <w:ind w:left="113"/>
              <w:rPr>
                <w:sz w:val="16"/>
              </w:rPr>
            </w:pPr>
            <w:r>
              <w:rPr>
                <w:w w:val="95"/>
                <w:sz w:val="16"/>
              </w:rPr>
              <w:t>0.862</w:t>
            </w:r>
          </w:p>
        </w:tc>
        <w:tc>
          <w:tcPr>
            <w:tcW w:w="1460" w:type="dxa"/>
          </w:tcPr>
          <w:p w14:paraId="74DF15C1" w14:textId="77777777" w:rsidR="00F65DFC" w:rsidRDefault="00F65DFC" w:rsidP="007A4637">
            <w:pPr>
              <w:pStyle w:val="TableParagraph"/>
              <w:spacing w:line="159" w:lineRule="exact"/>
              <w:ind w:left="113" w:right="1"/>
              <w:jc w:val="center"/>
              <w:rPr>
                <w:sz w:val="16"/>
              </w:rPr>
            </w:pPr>
            <w:r>
              <w:rPr>
                <w:w w:val="95"/>
                <w:sz w:val="16"/>
              </w:rPr>
              <w:t>0.45</w:t>
            </w:r>
          </w:p>
        </w:tc>
        <w:tc>
          <w:tcPr>
            <w:tcW w:w="120" w:type="dxa"/>
          </w:tcPr>
          <w:p w14:paraId="2D5290EA" w14:textId="77777777" w:rsidR="00F65DFC" w:rsidRDefault="00F65DFC" w:rsidP="007A4637">
            <w:pPr>
              <w:pStyle w:val="TableParagraph"/>
              <w:rPr>
                <w:rFonts w:ascii="Times New Roman"/>
                <w:sz w:val="12"/>
              </w:rPr>
            </w:pPr>
          </w:p>
        </w:tc>
      </w:tr>
      <w:tr w:rsidR="00F65DFC" w14:paraId="0A7E0AB9" w14:textId="77777777" w:rsidTr="007A4637">
        <w:trPr>
          <w:trHeight w:val="179"/>
        </w:trPr>
        <w:tc>
          <w:tcPr>
            <w:tcW w:w="660" w:type="dxa"/>
          </w:tcPr>
          <w:p w14:paraId="0989B9CF" w14:textId="77777777" w:rsidR="00F65DFC" w:rsidRDefault="00F65DFC" w:rsidP="007A4637">
            <w:pPr>
              <w:pStyle w:val="TableParagraph"/>
              <w:spacing w:line="159" w:lineRule="exact"/>
              <w:ind w:left="79"/>
              <w:rPr>
                <w:sz w:val="16"/>
              </w:rPr>
            </w:pPr>
            <w:r>
              <w:rPr>
                <w:w w:val="84"/>
                <w:sz w:val="16"/>
              </w:rPr>
              <w:t>9</w:t>
            </w:r>
          </w:p>
        </w:tc>
        <w:tc>
          <w:tcPr>
            <w:tcW w:w="3653" w:type="dxa"/>
          </w:tcPr>
          <w:p w14:paraId="03A9F6BF" w14:textId="77777777" w:rsidR="00F65DFC" w:rsidRDefault="00F65DFC" w:rsidP="007A4637">
            <w:pPr>
              <w:pStyle w:val="TableParagraph"/>
              <w:spacing w:line="159" w:lineRule="exact"/>
              <w:ind w:left="114"/>
              <w:rPr>
                <w:sz w:val="16"/>
              </w:rPr>
            </w:pPr>
            <w:r>
              <w:rPr>
                <w:w w:val="95"/>
                <w:sz w:val="16"/>
              </w:rPr>
              <w:t>Things</w:t>
            </w:r>
            <w:r>
              <w:rPr>
                <w:spacing w:val="8"/>
                <w:w w:val="95"/>
                <w:sz w:val="16"/>
              </w:rPr>
              <w:t xml:space="preserve"> </w:t>
            </w:r>
            <w:r>
              <w:rPr>
                <w:w w:val="95"/>
                <w:sz w:val="16"/>
              </w:rPr>
              <w:t>happen</w:t>
            </w:r>
            <w:r>
              <w:rPr>
                <w:spacing w:val="9"/>
                <w:w w:val="95"/>
                <w:sz w:val="16"/>
              </w:rPr>
              <w:t xml:space="preserve"> </w:t>
            </w:r>
            <w:r>
              <w:rPr>
                <w:w w:val="95"/>
                <w:sz w:val="16"/>
              </w:rPr>
              <w:t>for</w:t>
            </w:r>
            <w:r>
              <w:rPr>
                <w:spacing w:val="10"/>
                <w:w w:val="95"/>
                <w:sz w:val="16"/>
              </w:rPr>
              <w:t xml:space="preserve"> </w:t>
            </w:r>
            <w:r>
              <w:rPr>
                <w:w w:val="95"/>
                <w:sz w:val="16"/>
              </w:rPr>
              <w:t>a</w:t>
            </w:r>
            <w:r>
              <w:rPr>
                <w:spacing w:val="10"/>
                <w:w w:val="95"/>
                <w:sz w:val="16"/>
              </w:rPr>
              <w:t xml:space="preserve"> </w:t>
            </w:r>
            <w:r>
              <w:rPr>
                <w:w w:val="95"/>
                <w:sz w:val="16"/>
              </w:rPr>
              <w:t>reason</w:t>
            </w:r>
          </w:p>
        </w:tc>
        <w:tc>
          <w:tcPr>
            <w:tcW w:w="583" w:type="dxa"/>
          </w:tcPr>
          <w:p w14:paraId="2A6BA7DF" w14:textId="77777777" w:rsidR="00F65DFC" w:rsidRDefault="00F65DFC" w:rsidP="007A4637">
            <w:pPr>
              <w:pStyle w:val="TableParagraph"/>
              <w:spacing w:line="159" w:lineRule="exact"/>
              <w:ind w:left="163"/>
              <w:rPr>
                <w:sz w:val="16"/>
              </w:rPr>
            </w:pPr>
            <w:r>
              <w:rPr>
                <w:w w:val="95"/>
                <w:sz w:val="16"/>
              </w:rPr>
              <w:t>2.6</w:t>
            </w:r>
          </w:p>
        </w:tc>
        <w:tc>
          <w:tcPr>
            <w:tcW w:w="558" w:type="dxa"/>
          </w:tcPr>
          <w:p w14:paraId="7F13EF79" w14:textId="77777777" w:rsidR="00F65DFC" w:rsidRDefault="00F65DFC" w:rsidP="007A4637">
            <w:pPr>
              <w:pStyle w:val="TableParagraph"/>
              <w:spacing w:line="159" w:lineRule="exact"/>
              <w:ind w:left="113"/>
              <w:rPr>
                <w:sz w:val="16"/>
              </w:rPr>
            </w:pPr>
            <w:r>
              <w:rPr>
                <w:w w:val="95"/>
                <w:sz w:val="16"/>
              </w:rPr>
              <w:t>1.221</w:t>
            </w:r>
          </w:p>
        </w:tc>
        <w:tc>
          <w:tcPr>
            <w:tcW w:w="1460" w:type="dxa"/>
          </w:tcPr>
          <w:p w14:paraId="3AD6F084" w14:textId="77777777" w:rsidR="00F65DFC" w:rsidRDefault="00F65DFC" w:rsidP="007A4637">
            <w:pPr>
              <w:pStyle w:val="TableParagraph"/>
              <w:spacing w:line="159" w:lineRule="exact"/>
              <w:ind w:left="113" w:right="1"/>
              <w:jc w:val="center"/>
              <w:rPr>
                <w:sz w:val="16"/>
              </w:rPr>
            </w:pPr>
            <w:r>
              <w:rPr>
                <w:w w:val="95"/>
                <w:sz w:val="16"/>
              </w:rPr>
              <w:t>0.57</w:t>
            </w:r>
          </w:p>
        </w:tc>
        <w:tc>
          <w:tcPr>
            <w:tcW w:w="120" w:type="dxa"/>
          </w:tcPr>
          <w:p w14:paraId="62D5BFA8" w14:textId="77777777" w:rsidR="00F65DFC" w:rsidRDefault="00F65DFC" w:rsidP="007A4637">
            <w:pPr>
              <w:pStyle w:val="TableParagraph"/>
              <w:rPr>
                <w:rFonts w:ascii="Times New Roman"/>
                <w:sz w:val="12"/>
              </w:rPr>
            </w:pPr>
          </w:p>
        </w:tc>
      </w:tr>
      <w:tr w:rsidR="00F65DFC" w14:paraId="5804B88B" w14:textId="77777777" w:rsidTr="007A4637">
        <w:trPr>
          <w:trHeight w:val="179"/>
        </w:trPr>
        <w:tc>
          <w:tcPr>
            <w:tcW w:w="660" w:type="dxa"/>
          </w:tcPr>
          <w:p w14:paraId="206E1B7F" w14:textId="77777777" w:rsidR="00F65DFC" w:rsidRDefault="00F65DFC" w:rsidP="007A4637">
            <w:pPr>
              <w:pStyle w:val="TableParagraph"/>
              <w:spacing w:line="160" w:lineRule="exact"/>
              <w:rPr>
                <w:sz w:val="16"/>
              </w:rPr>
            </w:pPr>
            <w:r>
              <w:rPr>
                <w:w w:val="95"/>
                <w:sz w:val="16"/>
              </w:rPr>
              <w:t>10</w:t>
            </w:r>
          </w:p>
        </w:tc>
        <w:tc>
          <w:tcPr>
            <w:tcW w:w="3653" w:type="dxa"/>
          </w:tcPr>
          <w:p w14:paraId="3B21AB22" w14:textId="77777777" w:rsidR="00F65DFC" w:rsidRDefault="00F65DFC" w:rsidP="007A4637">
            <w:pPr>
              <w:pStyle w:val="TableParagraph"/>
              <w:spacing w:line="160" w:lineRule="exact"/>
              <w:ind w:left="114"/>
              <w:rPr>
                <w:sz w:val="16"/>
              </w:rPr>
            </w:pPr>
            <w:r>
              <w:rPr>
                <w:w w:val="95"/>
                <w:sz w:val="16"/>
              </w:rPr>
              <w:t>Best</w:t>
            </w:r>
            <w:r>
              <w:rPr>
                <w:spacing w:val="3"/>
                <w:w w:val="95"/>
                <w:sz w:val="16"/>
              </w:rPr>
              <w:t xml:space="preserve"> </w:t>
            </w:r>
            <w:r>
              <w:rPr>
                <w:w w:val="95"/>
                <w:sz w:val="16"/>
              </w:rPr>
              <w:t>effort</w:t>
            </w:r>
            <w:r>
              <w:rPr>
                <w:spacing w:val="4"/>
                <w:w w:val="95"/>
                <w:sz w:val="16"/>
              </w:rPr>
              <w:t xml:space="preserve"> </w:t>
            </w:r>
            <w:r>
              <w:rPr>
                <w:w w:val="95"/>
                <w:sz w:val="16"/>
              </w:rPr>
              <w:t>no</w:t>
            </w:r>
            <w:r>
              <w:rPr>
                <w:spacing w:val="5"/>
                <w:w w:val="95"/>
                <w:sz w:val="16"/>
              </w:rPr>
              <w:t xml:space="preserve"> </w:t>
            </w:r>
            <w:r>
              <w:rPr>
                <w:w w:val="95"/>
                <w:sz w:val="16"/>
              </w:rPr>
              <w:t>matter</w:t>
            </w:r>
            <w:r>
              <w:rPr>
                <w:spacing w:val="3"/>
                <w:w w:val="95"/>
                <w:sz w:val="16"/>
              </w:rPr>
              <w:t xml:space="preserve"> </w:t>
            </w:r>
            <w:r>
              <w:rPr>
                <w:w w:val="95"/>
                <w:sz w:val="16"/>
              </w:rPr>
              <w:t>what</w:t>
            </w:r>
          </w:p>
        </w:tc>
        <w:tc>
          <w:tcPr>
            <w:tcW w:w="583" w:type="dxa"/>
          </w:tcPr>
          <w:p w14:paraId="15AF0295" w14:textId="77777777" w:rsidR="00F65DFC" w:rsidRDefault="00F65DFC" w:rsidP="007A4637">
            <w:pPr>
              <w:pStyle w:val="TableParagraph"/>
              <w:spacing w:line="160" w:lineRule="exact"/>
              <w:ind w:left="163"/>
              <w:rPr>
                <w:sz w:val="16"/>
              </w:rPr>
            </w:pPr>
            <w:r>
              <w:rPr>
                <w:w w:val="95"/>
                <w:sz w:val="16"/>
              </w:rPr>
              <w:t>3.09</w:t>
            </w:r>
          </w:p>
        </w:tc>
        <w:tc>
          <w:tcPr>
            <w:tcW w:w="558" w:type="dxa"/>
          </w:tcPr>
          <w:p w14:paraId="7602CFB0" w14:textId="77777777" w:rsidR="00F65DFC" w:rsidRDefault="00F65DFC" w:rsidP="007A4637">
            <w:pPr>
              <w:pStyle w:val="TableParagraph"/>
              <w:spacing w:line="160" w:lineRule="exact"/>
              <w:ind w:left="113"/>
              <w:rPr>
                <w:sz w:val="16"/>
              </w:rPr>
            </w:pPr>
            <w:r>
              <w:rPr>
                <w:w w:val="95"/>
                <w:sz w:val="16"/>
              </w:rPr>
              <w:t>0.983</w:t>
            </w:r>
          </w:p>
        </w:tc>
        <w:tc>
          <w:tcPr>
            <w:tcW w:w="1460" w:type="dxa"/>
          </w:tcPr>
          <w:p w14:paraId="64E690AA" w14:textId="77777777" w:rsidR="00F65DFC" w:rsidRDefault="00F65DFC" w:rsidP="007A4637">
            <w:pPr>
              <w:pStyle w:val="TableParagraph"/>
              <w:spacing w:line="160" w:lineRule="exact"/>
              <w:ind w:left="113" w:right="1"/>
              <w:jc w:val="center"/>
              <w:rPr>
                <w:sz w:val="16"/>
              </w:rPr>
            </w:pPr>
            <w:r>
              <w:rPr>
                <w:w w:val="95"/>
                <w:sz w:val="16"/>
              </w:rPr>
              <w:t>0.38</w:t>
            </w:r>
          </w:p>
        </w:tc>
        <w:tc>
          <w:tcPr>
            <w:tcW w:w="120" w:type="dxa"/>
          </w:tcPr>
          <w:p w14:paraId="7C48C22A" w14:textId="77777777" w:rsidR="00F65DFC" w:rsidRDefault="00F65DFC" w:rsidP="007A4637">
            <w:pPr>
              <w:pStyle w:val="TableParagraph"/>
              <w:rPr>
                <w:rFonts w:ascii="Times New Roman"/>
                <w:sz w:val="12"/>
              </w:rPr>
            </w:pPr>
          </w:p>
        </w:tc>
      </w:tr>
      <w:tr w:rsidR="00F65DFC" w14:paraId="52AFF958" w14:textId="77777777" w:rsidTr="007A4637">
        <w:trPr>
          <w:trHeight w:val="179"/>
        </w:trPr>
        <w:tc>
          <w:tcPr>
            <w:tcW w:w="660" w:type="dxa"/>
          </w:tcPr>
          <w:p w14:paraId="4828880F" w14:textId="77777777" w:rsidR="00F65DFC" w:rsidRDefault="00F65DFC" w:rsidP="007A4637">
            <w:pPr>
              <w:pStyle w:val="TableParagraph"/>
              <w:spacing w:line="160" w:lineRule="exact"/>
              <w:rPr>
                <w:sz w:val="16"/>
              </w:rPr>
            </w:pPr>
            <w:r>
              <w:rPr>
                <w:w w:val="95"/>
                <w:sz w:val="16"/>
              </w:rPr>
              <w:t>11</w:t>
            </w:r>
          </w:p>
        </w:tc>
        <w:tc>
          <w:tcPr>
            <w:tcW w:w="3653" w:type="dxa"/>
          </w:tcPr>
          <w:p w14:paraId="55F87FF0" w14:textId="77777777" w:rsidR="00F65DFC" w:rsidRDefault="00F65DFC" w:rsidP="007A4637">
            <w:pPr>
              <w:pStyle w:val="TableParagraph"/>
              <w:spacing w:line="160" w:lineRule="exact"/>
              <w:ind w:left="114"/>
              <w:rPr>
                <w:sz w:val="16"/>
              </w:rPr>
            </w:pPr>
            <w:r>
              <w:rPr>
                <w:w w:val="95"/>
                <w:sz w:val="16"/>
              </w:rPr>
              <w:t>One</w:t>
            </w:r>
            <w:r>
              <w:rPr>
                <w:spacing w:val="4"/>
                <w:w w:val="95"/>
                <w:sz w:val="16"/>
              </w:rPr>
              <w:t xml:space="preserve"> </w:t>
            </w:r>
            <w:r>
              <w:rPr>
                <w:w w:val="95"/>
                <w:sz w:val="16"/>
              </w:rPr>
              <w:t>can</w:t>
            </w:r>
            <w:r>
              <w:rPr>
                <w:spacing w:val="3"/>
                <w:w w:val="95"/>
                <w:sz w:val="16"/>
              </w:rPr>
              <w:t xml:space="preserve"> </w:t>
            </w:r>
            <w:r>
              <w:rPr>
                <w:w w:val="95"/>
                <w:sz w:val="16"/>
              </w:rPr>
              <w:t>achieve</w:t>
            </w:r>
            <w:r>
              <w:rPr>
                <w:spacing w:val="3"/>
                <w:w w:val="95"/>
                <w:sz w:val="16"/>
              </w:rPr>
              <w:t xml:space="preserve"> </w:t>
            </w:r>
            <w:r>
              <w:rPr>
                <w:w w:val="95"/>
                <w:sz w:val="16"/>
              </w:rPr>
              <w:t>one</w:t>
            </w:r>
            <w:r>
              <w:rPr>
                <w:rFonts w:ascii="Lucida Sans Unicode" w:hAnsi="Lucida Sans Unicode"/>
                <w:w w:val="95"/>
                <w:sz w:val="16"/>
              </w:rPr>
              <w:t>’</w:t>
            </w:r>
            <w:r>
              <w:rPr>
                <w:w w:val="95"/>
                <w:sz w:val="16"/>
              </w:rPr>
              <w:t>s</w:t>
            </w:r>
            <w:r>
              <w:rPr>
                <w:spacing w:val="4"/>
                <w:w w:val="95"/>
                <w:sz w:val="16"/>
              </w:rPr>
              <w:t xml:space="preserve"> </w:t>
            </w:r>
            <w:r>
              <w:rPr>
                <w:w w:val="95"/>
                <w:sz w:val="16"/>
              </w:rPr>
              <w:t>goals</w:t>
            </w:r>
          </w:p>
        </w:tc>
        <w:tc>
          <w:tcPr>
            <w:tcW w:w="583" w:type="dxa"/>
          </w:tcPr>
          <w:p w14:paraId="395107E2" w14:textId="77777777" w:rsidR="00F65DFC" w:rsidRDefault="00F65DFC" w:rsidP="007A4637">
            <w:pPr>
              <w:pStyle w:val="TableParagraph"/>
              <w:spacing w:line="160" w:lineRule="exact"/>
              <w:ind w:left="163"/>
              <w:rPr>
                <w:sz w:val="16"/>
              </w:rPr>
            </w:pPr>
            <w:r>
              <w:rPr>
                <w:w w:val="95"/>
                <w:sz w:val="16"/>
              </w:rPr>
              <w:t>3.56</w:t>
            </w:r>
          </w:p>
        </w:tc>
        <w:tc>
          <w:tcPr>
            <w:tcW w:w="558" w:type="dxa"/>
          </w:tcPr>
          <w:p w14:paraId="74A83FF1" w14:textId="77777777" w:rsidR="00F65DFC" w:rsidRDefault="00F65DFC" w:rsidP="007A4637">
            <w:pPr>
              <w:pStyle w:val="TableParagraph"/>
              <w:spacing w:line="160" w:lineRule="exact"/>
              <w:ind w:left="113"/>
              <w:rPr>
                <w:sz w:val="16"/>
              </w:rPr>
            </w:pPr>
            <w:r>
              <w:rPr>
                <w:w w:val="95"/>
                <w:sz w:val="16"/>
              </w:rPr>
              <w:t>0.691</w:t>
            </w:r>
          </w:p>
        </w:tc>
        <w:tc>
          <w:tcPr>
            <w:tcW w:w="1460" w:type="dxa"/>
          </w:tcPr>
          <w:p w14:paraId="75A9EE65" w14:textId="77777777" w:rsidR="00F65DFC" w:rsidRDefault="00F65DFC" w:rsidP="007A4637">
            <w:pPr>
              <w:pStyle w:val="TableParagraph"/>
              <w:spacing w:line="160" w:lineRule="exact"/>
              <w:ind w:left="113" w:right="1"/>
              <w:jc w:val="center"/>
              <w:rPr>
                <w:sz w:val="16"/>
              </w:rPr>
            </w:pPr>
            <w:r>
              <w:rPr>
                <w:w w:val="95"/>
                <w:sz w:val="16"/>
              </w:rPr>
              <w:t>0.53</w:t>
            </w:r>
          </w:p>
        </w:tc>
        <w:tc>
          <w:tcPr>
            <w:tcW w:w="120" w:type="dxa"/>
          </w:tcPr>
          <w:p w14:paraId="132B7D9F" w14:textId="77777777" w:rsidR="00F65DFC" w:rsidRDefault="00F65DFC" w:rsidP="007A4637">
            <w:pPr>
              <w:pStyle w:val="TableParagraph"/>
              <w:rPr>
                <w:rFonts w:ascii="Times New Roman"/>
                <w:sz w:val="12"/>
              </w:rPr>
            </w:pPr>
          </w:p>
        </w:tc>
      </w:tr>
      <w:tr w:rsidR="00F65DFC" w14:paraId="04187560" w14:textId="77777777" w:rsidTr="007A4637">
        <w:trPr>
          <w:trHeight w:val="179"/>
        </w:trPr>
        <w:tc>
          <w:tcPr>
            <w:tcW w:w="660" w:type="dxa"/>
          </w:tcPr>
          <w:p w14:paraId="43FD8028" w14:textId="77777777" w:rsidR="00F65DFC" w:rsidRDefault="00F65DFC" w:rsidP="007A4637">
            <w:pPr>
              <w:pStyle w:val="TableParagraph"/>
              <w:spacing w:line="159" w:lineRule="exact"/>
              <w:rPr>
                <w:sz w:val="16"/>
              </w:rPr>
            </w:pPr>
            <w:r>
              <w:rPr>
                <w:w w:val="95"/>
                <w:sz w:val="16"/>
              </w:rPr>
              <w:t>12</w:t>
            </w:r>
          </w:p>
        </w:tc>
        <w:tc>
          <w:tcPr>
            <w:tcW w:w="3653" w:type="dxa"/>
          </w:tcPr>
          <w:p w14:paraId="6F2A5A8A" w14:textId="77777777" w:rsidR="00F65DFC" w:rsidRDefault="00F65DFC" w:rsidP="007A4637">
            <w:pPr>
              <w:pStyle w:val="TableParagraph"/>
              <w:spacing w:line="159" w:lineRule="exact"/>
              <w:ind w:left="114"/>
              <w:rPr>
                <w:sz w:val="16"/>
              </w:rPr>
            </w:pPr>
            <w:r>
              <w:rPr>
                <w:w w:val="95"/>
                <w:sz w:val="16"/>
              </w:rPr>
              <w:t>When</w:t>
            </w:r>
            <w:r>
              <w:rPr>
                <w:spacing w:val="7"/>
                <w:w w:val="95"/>
                <w:sz w:val="16"/>
              </w:rPr>
              <w:t xml:space="preserve"> </w:t>
            </w:r>
            <w:r>
              <w:rPr>
                <w:w w:val="95"/>
                <w:sz w:val="16"/>
              </w:rPr>
              <w:t>things</w:t>
            </w:r>
            <w:r>
              <w:rPr>
                <w:spacing w:val="7"/>
                <w:w w:val="95"/>
                <w:sz w:val="16"/>
              </w:rPr>
              <w:t xml:space="preserve"> </w:t>
            </w:r>
            <w:r>
              <w:rPr>
                <w:w w:val="95"/>
                <w:sz w:val="16"/>
              </w:rPr>
              <w:t>look</w:t>
            </w:r>
            <w:r>
              <w:rPr>
                <w:spacing w:val="8"/>
                <w:w w:val="95"/>
                <w:sz w:val="16"/>
              </w:rPr>
              <w:t xml:space="preserve"> </w:t>
            </w:r>
            <w:r>
              <w:rPr>
                <w:w w:val="95"/>
                <w:sz w:val="16"/>
              </w:rPr>
              <w:t>hopeless,</w:t>
            </w:r>
            <w:r>
              <w:rPr>
                <w:spacing w:val="8"/>
                <w:w w:val="95"/>
                <w:sz w:val="16"/>
              </w:rPr>
              <w:t xml:space="preserve"> </w:t>
            </w:r>
            <w:r>
              <w:rPr>
                <w:w w:val="95"/>
                <w:sz w:val="16"/>
              </w:rPr>
              <w:t>I</w:t>
            </w:r>
            <w:r>
              <w:rPr>
                <w:spacing w:val="9"/>
                <w:w w:val="95"/>
                <w:sz w:val="16"/>
              </w:rPr>
              <w:t xml:space="preserve"> </w:t>
            </w:r>
            <w:r>
              <w:rPr>
                <w:w w:val="95"/>
                <w:sz w:val="16"/>
              </w:rPr>
              <w:t>do</w:t>
            </w:r>
            <w:r>
              <w:rPr>
                <w:spacing w:val="8"/>
                <w:w w:val="95"/>
                <w:sz w:val="16"/>
              </w:rPr>
              <w:t xml:space="preserve"> </w:t>
            </w:r>
            <w:r>
              <w:rPr>
                <w:w w:val="95"/>
                <w:sz w:val="16"/>
              </w:rPr>
              <w:t>not</w:t>
            </w:r>
            <w:r>
              <w:rPr>
                <w:spacing w:val="7"/>
                <w:w w:val="95"/>
                <w:sz w:val="16"/>
              </w:rPr>
              <w:t xml:space="preserve"> </w:t>
            </w:r>
            <w:r>
              <w:rPr>
                <w:w w:val="95"/>
                <w:sz w:val="16"/>
              </w:rPr>
              <w:t>give</w:t>
            </w:r>
            <w:r>
              <w:rPr>
                <w:spacing w:val="8"/>
                <w:w w:val="95"/>
                <w:sz w:val="16"/>
              </w:rPr>
              <w:t xml:space="preserve"> </w:t>
            </w:r>
            <w:r>
              <w:rPr>
                <w:w w:val="95"/>
                <w:sz w:val="16"/>
              </w:rPr>
              <w:t>up</w:t>
            </w:r>
          </w:p>
        </w:tc>
        <w:tc>
          <w:tcPr>
            <w:tcW w:w="583" w:type="dxa"/>
          </w:tcPr>
          <w:p w14:paraId="46E0626F" w14:textId="77777777" w:rsidR="00F65DFC" w:rsidRDefault="00F65DFC" w:rsidP="007A4637">
            <w:pPr>
              <w:pStyle w:val="TableParagraph"/>
              <w:spacing w:line="159" w:lineRule="exact"/>
              <w:ind w:left="163"/>
              <w:rPr>
                <w:sz w:val="16"/>
              </w:rPr>
            </w:pPr>
            <w:r>
              <w:rPr>
                <w:w w:val="95"/>
                <w:sz w:val="16"/>
              </w:rPr>
              <w:t>3.06</w:t>
            </w:r>
          </w:p>
        </w:tc>
        <w:tc>
          <w:tcPr>
            <w:tcW w:w="558" w:type="dxa"/>
          </w:tcPr>
          <w:p w14:paraId="292D115F" w14:textId="77777777" w:rsidR="00F65DFC" w:rsidRDefault="00F65DFC" w:rsidP="007A4637">
            <w:pPr>
              <w:pStyle w:val="TableParagraph"/>
              <w:spacing w:line="159" w:lineRule="exact"/>
              <w:ind w:left="113"/>
              <w:rPr>
                <w:sz w:val="16"/>
              </w:rPr>
            </w:pPr>
            <w:r>
              <w:rPr>
                <w:w w:val="95"/>
                <w:sz w:val="16"/>
              </w:rPr>
              <w:t>1.044</w:t>
            </w:r>
          </w:p>
        </w:tc>
        <w:tc>
          <w:tcPr>
            <w:tcW w:w="1460" w:type="dxa"/>
          </w:tcPr>
          <w:p w14:paraId="41002335" w14:textId="77777777" w:rsidR="00F65DFC" w:rsidRDefault="00F65DFC" w:rsidP="007A4637">
            <w:pPr>
              <w:pStyle w:val="TableParagraph"/>
              <w:spacing w:line="159" w:lineRule="exact"/>
              <w:ind w:left="113" w:right="1"/>
              <w:jc w:val="center"/>
              <w:rPr>
                <w:sz w:val="16"/>
              </w:rPr>
            </w:pPr>
            <w:r>
              <w:rPr>
                <w:w w:val="95"/>
                <w:sz w:val="16"/>
              </w:rPr>
              <w:t>0.46</w:t>
            </w:r>
          </w:p>
        </w:tc>
        <w:tc>
          <w:tcPr>
            <w:tcW w:w="120" w:type="dxa"/>
          </w:tcPr>
          <w:p w14:paraId="3D537CD9" w14:textId="77777777" w:rsidR="00F65DFC" w:rsidRDefault="00F65DFC" w:rsidP="007A4637">
            <w:pPr>
              <w:pStyle w:val="TableParagraph"/>
              <w:rPr>
                <w:rFonts w:ascii="Times New Roman"/>
                <w:sz w:val="12"/>
              </w:rPr>
            </w:pPr>
          </w:p>
        </w:tc>
      </w:tr>
      <w:tr w:rsidR="00F65DFC" w14:paraId="7696183F" w14:textId="77777777" w:rsidTr="007A4637">
        <w:trPr>
          <w:trHeight w:val="179"/>
        </w:trPr>
        <w:tc>
          <w:tcPr>
            <w:tcW w:w="660" w:type="dxa"/>
          </w:tcPr>
          <w:p w14:paraId="395B97E0" w14:textId="77777777" w:rsidR="00F65DFC" w:rsidRDefault="00F65DFC" w:rsidP="007A4637">
            <w:pPr>
              <w:pStyle w:val="TableParagraph"/>
              <w:spacing w:line="159" w:lineRule="exact"/>
              <w:rPr>
                <w:sz w:val="16"/>
              </w:rPr>
            </w:pPr>
            <w:r>
              <w:rPr>
                <w:w w:val="95"/>
                <w:sz w:val="16"/>
              </w:rPr>
              <w:t>13</w:t>
            </w:r>
          </w:p>
        </w:tc>
        <w:tc>
          <w:tcPr>
            <w:tcW w:w="3653" w:type="dxa"/>
          </w:tcPr>
          <w:p w14:paraId="09DE4877" w14:textId="77777777" w:rsidR="00F65DFC" w:rsidRDefault="00F65DFC" w:rsidP="007A4637">
            <w:pPr>
              <w:pStyle w:val="TableParagraph"/>
              <w:spacing w:line="159" w:lineRule="exact"/>
              <w:ind w:left="114"/>
              <w:rPr>
                <w:sz w:val="16"/>
              </w:rPr>
            </w:pPr>
            <w:r>
              <w:rPr>
                <w:w w:val="95"/>
                <w:sz w:val="16"/>
              </w:rPr>
              <w:t>Know</w:t>
            </w:r>
            <w:r>
              <w:rPr>
                <w:spacing w:val="3"/>
                <w:w w:val="95"/>
                <w:sz w:val="16"/>
              </w:rPr>
              <w:t xml:space="preserve"> </w:t>
            </w:r>
            <w:r>
              <w:rPr>
                <w:w w:val="95"/>
                <w:sz w:val="16"/>
              </w:rPr>
              <w:t>where</w:t>
            </w:r>
            <w:r>
              <w:rPr>
                <w:spacing w:val="5"/>
                <w:w w:val="95"/>
                <w:sz w:val="16"/>
              </w:rPr>
              <w:t xml:space="preserve"> </w:t>
            </w:r>
            <w:r>
              <w:rPr>
                <w:w w:val="95"/>
                <w:sz w:val="16"/>
              </w:rPr>
              <w:t>to</w:t>
            </w:r>
            <w:r>
              <w:rPr>
                <w:spacing w:val="4"/>
                <w:w w:val="95"/>
                <w:sz w:val="16"/>
              </w:rPr>
              <w:t xml:space="preserve"> </w:t>
            </w:r>
            <w:r>
              <w:rPr>
                <w:w w:val="95"/>
                <w:sz w:val="16"/>
              </w:rPr>
              <w:t>get</w:t>
            </w:r>
            <w:r>
              <w:rPr>
                <w:spacing w:val="4"/>
                <w:w w:val="95"/>
                <w:sz w:val="16"/>
              </w:rPr>
              <w:t xml:space="preserve"> </w:t>
            </w:r>
            <w:r>
              <w:rPr>
                <w:w w:val="95"/>
                <w:sz w:val="16"/>
              </w:rPr>
              <w:t>help</w:t>
            </w:r>
          </w:p>
        </w:tc>
        <w:tc>
          <w:tcPr>
            <w:tcW w:w="583" w:type="dxa"/>
          </w:tcPr>
          <w:p w14:paraId="2F8EB9C6" w14:textId="77777777" w:rsidR="00F65DFC" w:rsidRDefault="00F65DFC" w:rsidP="007A4637">
            <w:pPr>
              <w:pStyle w:val="TableParagraph"/>
              <w:spacing w:line="159" w:lineRule="exact"/>
              <w:ind w:left="163"/>
              <w:rPr>
                <w:sz w:val="16"/>
              </w:rPr>
            </w:pPr>
            <w:r>
              <w:rPr>
                <w:w w:val="95"/>
                <w:sz w:val="16"/>
              </w:rPr>
              <w:t>3.18</w:t>
            </w:r>
          </w:p>
        </w:tc>
        <w:tc>
          <w:tcPr>
            <w:tcW w:w="558" w:type="dxa"/>
          </w:tcPr>
          <w:p w14:paraId="1179B1C8" w14:textId="77777777" w:rsidR="00F65DFC" w:rsidRDefault="00F65DFC" w:rsidP="007A4637">
            <w:pPr>
              <w:pStyle w:val="TableParagraph"/>
              <w:spacing w:line="159" w:lineRule="exact"/>
              <w:ind w:left="113"/>
              <w:rPr>
                <w:sz w:val="16"/>
              </w:rPr>
            </w:pPr>
            <w:r>
              <w:rPr>
                <w:w w:val="95"/>
                <w:sz w:val="16"/>
              </w:rPr>
              <w:t>0.848</w:t>
            </w:r>
          </w:p>
        </w:tc>
        <w:tc>
          <w:tcPr>
            <w:tcW w:w="1460" w:type="dxa"/>
          </w:tcPr>
          <w:p w14:paraId="04A5F8C3" w14:textId="77777777" w:rsidR="00F65DFC" w:rsidRDefault="00F65DFC" w:rsidP="007A4637">
            <w:pPr>
              <w:pStyle w:val="TableParagraph"/>
              <w:spacing w:line="159" w:lineRule="exact"/>
              <w:ind w:left="113" w:right="1"/>
              <w:jc w:val="center"/>
              <w:rPr>
                <w:sz w:val="16"/>
              </w:rPr>
            </w:pPr>
            <w:r>
              <w:rPr>
                <w:w w:val="95"/>
                <w:sz w:val="16"/>
              </w:rPr>
              <w:t>0.46</w:t>
            </w:r>
          </w:p>
        </w:tc>
        <w:tc>
          <w:tcPr>
            <w:tcW w:w="120" w:type="dxa"/>
          </w:tcPr>
          <w:p w14:paraId="6E44FFAB" w14:textId="77777777" w:rsidR="00F65DFC" w:rsidRDefault="00F65DFC" w:rsidP="007A4637">
            <w:pPr>
              <w:pStyle w:val="TableParagraph"/>
              <w:rPr>
                <w:rFonts w:ascii="Times New Roman"/>
                <w:sz w:val="12"/>
              </w:rPr>
            </w:pPr>
          </w:p>
        </w:tc>
      </w:tr>
      <w:tr w:rsidR="00F65DFC" w14:paraId="514327F8" w14:textId="77777777" w:rsidTr="007A4637">
        <w:trPr>
          <w:trHeight w:val="179"/>
        </w:trPr>
        <w:tc>
          <w:tcPr>
            <w:tcW w:w="660" w:type="dxa"/>
          </w:tcPr>
          <w:p w14:paraId="772D2C9C" w14:textId="77777777" w:rsidR="00F65DFC" w:rsidRDefault="00F65DFC" w:rsidP="007A4637">
            <w:pPr>
              <w:pStyle w:val="TableParagraph"/>
              <w:spacing w:line="159" w:lineRule="exact"/>
              <w:rPr>
                <w:sz w:val="16"/>
              </w:rPr>
            </w:pPr>
            <w:r>
              <w:rPr>
                <w:w w:val="95"/>
                <w:sz w:val="16"/>
              </w:rPr>
              <w:t>14</w:t>
            </w:r>
          </w:p>
        </w:tc>
        <w:tc>
          <w:tcPr>
            <w:tcW w:w="3653" w:type="dxa"/>
          </w:tcPr>
          <w:p w14:paraId="1B15431A" w14:textId="77777777" w:rsidR="00F65DFC" w:rsidRDefault="00F65DFC" w:rsidP="007A4637">
            <w:pPr>
              <w:pStyle w:val="TableParagraph"/>
              <w:spacing w:line="159" w:lineRule="exact"/>
              <w:ind w:left="114"/>
              <w:rPr>
                <w:sz w:val="16"/>
              </w:rPr>
            </w:pPr>
            <w:r>
              <w:rPr>
                <w:w w:val="95"/>
                <w:sz w:val="16"/>
              </w:rPr>
              <w:t>Under</w:t>
            </w:r>
            <w:r>
              <w:rPr>
                <w:spacing w:val="4"/>
                <w:w w:val="95"/>
                <w:sz w:val="16"/>
              </w:rPr>
              <w:t xml:space="preserve"> </w:t>
            </w:r>
            <w:r>
              <w:rPr>
                <w:w w:val="95"/>
                <w:sz w:val="16"/>
              </w:rPr>
              <w:t>pressure,</w:t>
            </w:r>
            <w:r>
              <w:rPr>
                <w:spacing w:val="5"/>
                <w:w w:val="95"/>
                <w:sz w:val="16"/>
              </w:rPr>
              <w:t xml:space="preserve"> </w:t>
            </w:r>
            <w:r>
              <w:rPr>
                <w:w w:val="95"/>
                <w:sz w:val="16"/>
              </w:rPr>
              <w:t>focus</w:t>
            </w:r>
            <w:r>
              <w:rPr>
                <w:spacing w:val="4"/>
                <w:w w:val="95"/>
                <w:sz w:val="16"/>
              </w:rPr>
              <w:t xml:space="preserve"> </w:t>
            </w:r>
            <w:r>
              <w:rPr>
                <w:w w:val="95"/>
                <w:sz w:val="16"/>
              </w:rPr>
              <w:t>and</w:t>
            </w:r>
            <w:r>
              <w:rPr>
                <w:spacing w:val="5"/>
                <w:w w:val="95"/>
                <w:sz w:val="16"/>
              </w:rPr>
              <w:t xml:space="preserve"> </w:t>
            </w:r>
            <w:r>
              <w:rPr>
                <w:w w:val="95"/>
                <w:sz w:val="16"/>
              </w:rPr>
              <w:t>think</w:t>
            </w:r>
            <w:r>
              <w:rPr>
                <w:spacing w:val="5"/>
                <w:w w:val="95"/>
                <w:sz w:val="16"/>
              </w:rPr>
              <w:t xml:space="preserve"> </w:t>
            </w:r>
            <w:r>
              <w:rPr>
                <w:w w:val="95"/>
                <w:sz w:val="16"/>
              </w:rPr>
              <w:t>clearly</w:t>
            </w:r>
          </w:p>
        </w:tc>
        <w:tc>
          <w:tcPr>
            <w:tcW w:w="583" w:type="dxa"/>
          </w:tcPr>
          <w:p w14:paraId="19BBFB9D" w14:textId="77777777" w:rsidR="00F65DFC" w:rsidRDefault="00F65DFC" w:rsidP="007A4637">
            <w:pPr>
              <w:pStyle w:val="TableParagraph"/>
              <w:spacing w:line="159" w:lineRule="exact"/>
              <w:ind w:left="163"/>
              <w:rPr>
                <w:sz w:val="16"/>
              </w:rPr>
            </w:pPr>
            <w:r>
              <w:rPr>
                <w:w w:val="95"/>
                <w:sz w:val="16"/>
              </w:rPr>
              <w:t>3.14</w:t>
            </w:r>
          </w:p>
        </w:tc>
        <w:tc>
          <w:tcPr>
            <w:tcW w:w="558" w:type="dxa"/>
          </w:tcPr>
          <w:p w14:paraId="5BB06E3B" w14:textId="77777777" w:rsidR="00F65DFC" w:rsidRDefault="00F65DFC" w:rsidP="007A4637">
            <w:pPr>
              <w:pStyle w:val="TableParagraph"/>
              <w:spacing w:line="159" w:lineRule="exact"/>
              <w:ind w:left="113"/>
              <w:rPr>
                <w:sz w:val="16"/>
              </w:rPr>
            </w:pPr>
            <w:r>
              <w:rPr>
                <w:w w:val="95"/>
                <w:sz w:val="16"/>
              </w:rPr>
              <w:t>0.843</w:t>
            </w:r>
          </w:p>
        </w:tc>
        <w:tc>
          <w:tcPr>
            <w:tcW w:w="1460" w:type="dxa"/>
          </w:tcPr>
          <w:p w14:paraId="1A81B01E" w14:textId="77777777" w:rsidR="00F65DFC" w:rsidRDefault="00F65DFC" w:rsidP="007A4637">
            <w:pPr>
              <w:pStyle w:val="TableParagraph"/>
              <w:spacing w:line="159" w:lineRule="exact"/>
              <w:ind w:left="113" w:right="1"/>
              <w:jc w:val="center"/>
              <w:rPr>
                <w:sz w:val="16"/>
              </w:rPr>
            </w:pPr>
            <w:r>
              <w:rPr>
                <w:w w:val="95"/>
                <w:sz w:val="16"/>
              </w:rPr>
              <w:t>0.48</w:t>
            </w:r>
          </w:p>
        </w:tc>
        <w:tc>
          <w:tcPr>
            <w:tcW w:w="120" w:type="dxa"/>
          </w:tcPr>
          <w:p w14:paraId="7C4E2AD6" w14:textId="77777777" w:rsidR="00F65DFC" w:rsidRDefault="00F65DFC" w:rsidP="007A4637">
            <w:pPr>
              <w:pStyle w:val="TableParagraph"/>
              <w:rPr>
                <w:rFonts w:ascii="Times New Roman"/>
                <w:sz w:val="12"/>
              </w:rPr>
            </w:pPr>
          </w:p>
        </w:tc>
      </w:tr>
      <w:tr w:rsidR="00F65DFC" w14:paraId="75CA2BFF" w14:textId="77777777" w:rsidTr="007A4637">
        <w:trPr>
          <w:trHeight w:val="179"/>
        </w:trPr>
        <w:tc>
          <w:tcPr>
            <w:tcW w:w="660" w:type="dxa"/>
          </w:tcPr>
          <w:p w14:paraId="18612E43" w14:textId="77777777" w:rsidR="00F65DFC" w:rsidRDefault="00F65DFC" w:rsidP="007A4637">
            <w:pPr>
              <w:pStyle w:val="TableParagraph"/>
              <w:spacing w:line="159" w:lineRule="exact"/>
              <w:rPr>
                <w:sz w:val="16"/>
              </w:rPr>
            </w:pPr>
            <w:r>
              <w:rPr>
                <w:w w:val="95"/>
                <w:sz w:val="16"/>
              </w:rPr>
              <w:t>15</w:t>
            </w:r>
          </w:p>
        </w:tc>
        <w:tc>
          <w:tcPr>
            <w:tcW w:w="3653" w:type="dxa"/>
          </w:tcPr>
          <w:p w14:paraId="633879A8" w14:textId="77777777" w:rsidR="00F65DFC" w:rsidRDefault="00F65DFC" w:rsidP="007A4637">
            <w:pPr>
              <w:pStyle w:val="TableParagraph"/>
              <w:spacing w:line="159" w:lineRule="exact"/>
              <w:ind w:left="114"/>
              <w:rPr>
                <w:sz w:val="16"/>
              </w:rPr>
            </w:pPr>
            <w:r>
              <w:rPr>
                <w:w w:val="95"/>
                <w:sz w:val="16"/>
              </w:rPr>
              <w:t>Prefer</w:t>
            </w:r>
            <w:r>
              <w:rPr>
                <w:spacing w:val="3"/>
                <w:w w:val="95"/>
                <w:sz w:val="16"/>
              </w:rPr>
              <w:t xml:space="preserve"> </w:t>
            </w:r>
            <w:r>
              <w:rPr>
                <w:w w:val="95"/>
                <w:sz w:val="16"/>
              </w:rPr>
              <w:t>to</w:t>
            </w:r>
            <w:r>
              <w:rPr>
                <w:spacing w:val="4"/>
                <w:w w:val="95"/>
                <w:sz w:val="16"/>
              </w:rPr>
              <w:t xml:space="preserve"> </w:t>
            </w:r>
            <w:r>
              <w:rPr>
                <w:w w:val="95"/>
                <w:sz w:val="16"/>
              </w:rPr>
              <w:t>take</w:t>
            </w:r>
            <w:r>
              <w:rPr>
                <w:spacing w:val="4"/>
                <w:w w:val="95"/>
                <w:sz w:val="16"/>
              </w:rPr>
              <w:t xml:space="preserve"> </w:t>
            </w:r>
            <w:r>
              <w:rPr>
                <w:w w:val="95"/>
                <w:sz w:val="16"/>
              </w:rPr>
              <w:t>the</w:t>
            </w:r>
            <w:r>
              <w:rPr>
                <w:spacing w:val="3"/>
                <w:w w:val="95"/>
                <w:sz w:val="16"/>
              </w:rPr>
              <w:t xml:space="preserve"> </w:t>
            </w:r>
            <w:r>
              <w:rPr>
                <w:w w:val="95"/>
                <w:sz w:val="16"/>
              </w:rPr>
              <w:t>lead</w:t>
            </w:r>
            <w:r>
              <w:rPr>
                <w:spacing w:val="4"/>
                <w:w w:val="95"/>
                <w:sz w:val="16"/>
              </w:rPr>
              <w:t xml:space="preserve"> </w:t>
            </w:r>
            <w:r>
              <w:rPr>
                <w:w w:val="95"/>
                <w:sz w:val="16"/>
              </w:rPr>
              <w:t>in</w:t>
            </w:r>
            <w:r>
              <w:rPr>
                <w:spacing w:val="4"/>
                <w:w w:val="95"/>
                <w:sz w:val="16"/>
              </w:rPr>
              <w:t xml:space="preserve"> </w:t>
            </w:r>
            <w:r>
              <w:rPr>
                <w:w w:val="95"/>
                <w:sz w:val="16"/>
              </w:rPr>
              <w:t>problem</w:t>
            </w:r>
            <w:r>
              <w:rPr>
                <w:spacing w:val="4"/>
                <w:w w:val="95"/>
                <w:sz w:val="16"/>
              </w:rPr>
              <w:t xml:space="preserve"> </w:t>
            </w:r>
            <w:r>
              <w:rPr>
                <w:w w:val="95"/>
                <w:sz w:val="16"/>
              </w:rPr>
              <w:t>solving</w:t>
            </w:r>
          </w:p>
        </w:tc>
        <w:tc>
          <w:tcPr>
            <w:tcW w:w="583" w:type="dxa"/>
          </w:tcPr>
          <w:p w14:paraId="08A02084" w14:textId="77777777" w:rsidR="00F65DFC" w:rsidRDefault="00F65DFC" w:rsidP="007A4637">
            <w:pPr>
              <w:pStyle w:val="TableParagraph"/>
              <w:spacing w:line="159" w:lineRule="exact"/>
              <w:ind w:left="163"/>
              <w:rPr>
                <w:sz w:val="16"/>
              </w:rPr>
            </w:pPr>
            <w:r>
              <w:rPr>
                <w:w w:val="95"/>
                <w:sz w:val="16"/>
              </w:rPr>
              <w:t>3.34</w:t>
            </w:r>
          </w:p>
        </w:tc>
        <w:tc>
          <w:tcPr>
            <w:tcW w:w="558" w:type="dxa"/>
          </w:tcPr>
          <w:p w14:paraId="020C0C73" w14:textId="77777777" w:rsidR="00F65DFC" w:rsidRDefault="00F65DFC" w:rsidP="007A4637">
            <w:pPr>
              <w:pStyle w:val="TableParagraph"/>
              <w:spacing w:line="159" w:lineRule="exact"/>
              <w:ind w:left="113"/>
              <w:rPr>
                <w:sz w:val="16"/>
              </w:rPr>
            </w:pPr>
            <w:r>
              <w:rPr>
                <w:w w:val="95"/>
                <w:sz w:val="16"/>
              </w:rPr>
              <w:t>0.763</w:t>
            </w:r>
          </w:p>
        </w:tc>
        <w:tc>
          <w:tcPr>
            <w:tcW w:w="1460" w:type="dxa"/>
          </w:tcPr>
          <w:p w14:paraId="23463680" w14:textId="77777777" w:rsidR="00F65DFC" w:rsidRDefault="00F65DFC" w:rsidP="007A4637">
            <w:pPr>
              <w:pStyle w:val="TableParagraph"/>
              <w:spacing w:line="159" w:lineRule="exact"/>
              <w:ind w:left="113" w:right="1"/>
              <w:jc w:val="center"/>
              <w:rPr>
                <w:sz w:val="16"/>
              </w:rPr>
            </w:pPr>
            <w:r>
              <w:rPr>
                <w:w w:val="95"/>
                <w:sz w:val="16"/>
              </w:rPr>
              <w:t>0.51</w:t>
            </w:r>
          </w:p>
        </w:tc>
        <w:tc>
          <w:tcPr>
            <w:tcW w:w="120" w:type="dxa"/>
          </w:tcPr>
          <w:p w14:paraId="57A5921C" w14:textId="77777777" w:rsidR="00F65DFC" w:rsidRDefault="00F65DFC" w:rsidP="007A4637">
            <w:pPr>
              <w:pStyle w:val="TableParagraph"/>
              <w:rPr>
                <w:rFonts w:ascii="Times New Roman"/>
                <w:sz w:val="12"/>
              </w:rPr>
            </w:pPr>
          </w:p>
        </w:tc>
      </w:tr>
      <w:tr w:rsidR="00F65DFC" w14:paraId="2816A844" w14:textId="77777777" w:rsidTr="007A4637">
        <w:trPr>
          <w:trHeight w:val="179"/>
        </w:trPr>
        <w:tc>
          <w:tcPr>
            <w:tcW w:w="660" w:type="dxa"/>
          </w:tcPr>
          <w:p w14:paraId="6806D8FC" w14:textId="77777777" w:rsidR="00F65DFC" w:rsidRDefault="00F65DFC" w:rsidP="007A4637">
            <w:pPr>
              <w:pStyle w:val="TableParagraph"/>
              <w:spacing w:line="159" w:lineRule="exact"/>
              <w:rPr>
                <w:sz w:val="16"/>
              </w:rPr>
            </w:pPr>
            <w:r>
              <w:rPr>
                <w:w w:val="95"/>
                <w:sz w:val="16"/>
              </w:rPr>
              <w:t>16</w:t>
            </w:r>
          </w:p>
        </w:tc>
        <w:tc>
          <w:tcPr>
            <w:tcW w:w="3653" w:type="dxa"/>
          </w:tcPr>
          <w:p w14:paraId="69BF256B" w14:textId="77777777" w:rsidR="00F65DFC" w:rsidRDefault="00F65DFC" w:rsidP="007A4637">
            <w:pPr>
              <w:pStyle w:val="TableParagraph"/>
              <w:spacing w:line="159" w:lineRule="exact"/>
              <w:ind w:left="114"/>
              <w:rPr>
                <w:sz w:val="16"/>
              </w:rPr>
            </w:pPr>
            <w:r>
              <w:rPr>
                <w:w w:val="95"/>
                <w:sz w:val="16"/>
              </w:rPr>
              <w:t>Not</w:t>
            </w:r>
            <w:r>
              <w:rPr>
                <w:spacing w:val="6"/>
                <w:w w:val="95"/>
                <w:sz w:val="16"/>
              </w:rPr>
              <w:t xml:space="preserve"> </w:t>
            </w:r>
            <w:r>
              <w:rPr>
                <w:w w:val="95"/>
                <w:sz w:val="16"/>
              </w:rPr>
              <w:t>easily</w:t>
            </w:r>
            <w:r>
              <w:rPr>
                <w:spacing w:val="7"/>
                <w:w w:val="95"/>
                <w:sz w:val="16"/>
              </w:rPr>
              <w:t xml:space="preserve"> </w:t>
            </w:r>
            <w:r>
              <w:rPr>
                <w:w w:val="95"/>
                <w:sz w:val="16"/>
              </w:rPr>
              <w:t>discouraged</w:t>
            </w:r>
            <w:r>
              <w:rPr>
                <w:spacing w:val="7"/>
                <w:w w:val="95"/>
                <w:sz w:val="16"/>
              </w:rPr>
              <w:t xml:space="preserve"> </w:t>
            </w:r>
            <w:r>
              <w:rPr>
                <w:w w:val="95"/>
                <w:sz w:val="16"/>
              </w:rPr>
              <w:t>by</w:t>
            </w:r>
            <w:r>
              <w:rPr>
                <w:spacing w:val="7"/>
                <w:w w:val="95"/>
                <w:sz w:val="16"/>
              </w:rPr>
              <w:t xml:space="preserve"> </w:t>
            </w:r>
            <w:r>
              <w:rPr>
                <w:w w:val="95"/>
                <w:sz w:val="16"/>
              </w:rPr>
              <w:t>failure</w:t>
            </w:r>
          </w:p>
        </w:tc>
        <w:tc>
          <w:tcPr>
            <w:tcW w:w="583" w:type="dxa"/>
          </w:tcPr>
          <w:p w14:paraId="650B6CF6" w14:textId="77777777" w:rsidR="00F65DFC" w:rsidRDefault="00F65DFC" w:rsidP="007A4637">
            <w:pPr>
              <w:pStyle w:val="TableParagraph"/>
              <w:spacing w:line="159" w:lineRule="exact"/>
              <w:ind w:left="163"/>
              <w:rPr>
                <w:sz w:val="16"/>
              </w:rPr>
            </w:pPr>
            <w:r>
              <w:rPr>
                <w:w w:val="95"/>
                <w:sz w:val="16"/>
              </w:rPr>
              <w:t>3.03</w:t>
            </w:r>
          </w:p>
        </w:tc>
        <w:tc>
          <w:tcPr>
            <w:tcW w:w="558" w:type="dxa"/>
          </w:tcPr>
          <w:p w14:paraId="025FF336" w14:textId="77777777" w:rsidR="00F65DFC" w:rsidRDefault="00F65DFC" w:rsidP="007A4637">
            <w:pPr>
              <w:pStyle w:val="TableParagraph"/>
              <w:spacing w:line="159" w:lineRule="exact"/>
              <w:ind w:left="113"/>
              <w:rPr>
                <w:sz w:val="16"/>
              </w:rPr>
            </w:pPr>
            <w:r>
              <w:rPr>
                <w:w w:val="95"/>
                <w:sz w:val="16"/>
              </w:rPr>
              <w:t>0.947</w:t>
            </w:r>
          </w:p>
        </w:tc>
        <w:tc>
          <w:tcPr>
            <w:tcW w:w="1460" w:type="dxa"/>
          </w:tcPr>
          <w:p w14:paraId="360209ED" w14:textId="77777777" w:rsidR="00F65DFC" w:rsidRDefault="00F65DFC" w:rsidP="007A4637">
            <w:pPr>
              <w:pStyle w:val="TableParagraph"/>
              <w:spacing w:line="159" w:lineRule="exact"/>
              <w:ind w:left="113" w:right="1"/>
              <w:jc w:val="center"/>
              <w:rPr>
                <w:sz w:val="16"/>
              </w:rPr>
            </w:pPr>
            <w:r>
              <w:rPr>
                <w:w w:val="95"/>
                <w:sz w:val="16"/>
              </w:rPr>
              <w:t>0.52</w:t>
            </w:r>
          </w:p>
        </w:tc>
        <w:tc>
          <w:tcPr>
            <w:tcW w:w="120" w:type="dxa"/>
          </w:tcPr>
          <w:p w14:paraId="0743A27E" w14:textId="77777777" w:rsidR="00F65DFC" w:rsidRDefault="00F65DFC" w:rsidP="007A4637">
            <w:pPr>
              <w:pStyle w:val="TableParagraph"/>
              <w:rPr>
                <w:rFonts w:ascii="Times New Roman"/>
                <w:sz w:val="12"/>
              </w:rPr>
            </w:pPr>
          </w:p>
        </w:tc>
      </w:tr>
      <w:tr w:rsidR="00F65DFC" w14:paraId="6EED0F30" w14:textId="77777777" w:rsidTr="007A4637">
        <w:trPr>
          <w:trHeight w:val="179"/>
        </w:trPr>
        <w:tc>
          <w:tcPr>
            <w:tcW w:w="660" w:type="dxa"/>
          </w:tcPr>
          <w:p w14:paraId="08420582" w14:textId="77777777" w:rsidR="00F65DFC" w:rsidRDefault="00F65DFC" w:rsidP="007A4637">
            <w:pPr>
              <w:pStyle w:val="TableParagraph"/>
              <w:spacing w:line="160" w:lineRule="exact"/>
              <w:rPr>
                <w:sz w:val="16"/>
              </w:rPr>
            </w:pPr>
            <w:r>
              <w:rPr>
                <w:w w:val="95"/>
                <w:sz w:val="16"/>
              </w:rPr>
              <w:t>17</w:t>
            </w:r>
          </w:p>
        </w:tc>
        <w:tc>
          <w:tcPr>
            <w:tcW w:w="3653" w:type="dxa"/>
          </w:tcPr>
          <w:p w14:paraId="67DA06AB" w14:textId="77777777" w:rsidR="00F65DFC" w:rsidRDefault="00F65DFC" w:rsidP="007A4637">
            <w:pPr>
              <w:pStyle w:val="TableParagraph"/>
              <w:spacing w:line="160" w:lineRule="exact"/>
              <w:ind w:left="114"/>
              <w:rPr>
                <w:sz w:val="16"/>
              </w:rPr>
            </w:pPr>
            <w:r>
              <w:rPr>
                <w:w w:val="95"/>
                <w:sz w:val="16"/>
              </w:rPr>
              <w:t>Think</w:t>
            </w:r>
            <w:r>
              <w:rPr>
                <w:spacing w:val="10"/>
                <w:w w:val="95"/>
                <w:sz w:val="16"/>
              </w:rPr>
              <w:t xml:space="preserve"> </w:t>
            </w:r>
            <w:r>
              <w:rPr>
                <w:w w:val="95"/>
                <w:sz w:val="16"/>
              </w:rPr>
              <w:t>of</w:t>
            </w:r>
            <w:r>
              <w:rPr>
                <w:spacing w:val="10"/>
                <w:w w:val="95"/>
                <w:sz w:val="16"/>
              </w:rPr>
              <w:t xml:space="preserve"> </w:t>
            </w:r>
            <w:r>
              <w:rPr>
                <w:w w:val="95"/>
                <w:sz w:val="16"/>
              </w:rPr>
              <w:t>self</w:t>
            </w:r>
            <w:r>
              <w:rPr>
                <w:spacing w:val="11"/>
                <w:w w:val="95"/>
                <w:sz w:val="16"/>
              </w:rPr>
              <w:t xml:space="preserve"> </w:t>
            </w:r>
            <w:r>
              <w:rPr>
                <w:w w:val="95"/>
                <w:sz w:val="16"/>
              </w:rPr>
              <w:t>as</w:t>
            </w:r>
            <w:r>
              <w:rPr>
                <w:spacing w:val="10"/>
                <w:w w:val="95"/>
                <w:sz w:val="16"/>
              </w:rPr>
              <w:t xml:space="preserve"> </w:t>
            </w:r>
            <w:r>
              <w:rPr>
                <w:w w:val="95"/>
                <w:sz w:val="16"/>
              </w:rPr>
              <w:t>strong</w:t>
            </w:r>
            <w:r>
              <w:rPr>
                <w:spacing w:val="11"/>
                <w:w w:val="95"/>
                <w:sz w:val="16"/>
              </w:rPr>
              <w:t xml:space="preserve"> </w:t>
            </w:r>
            <w:r>
              <w:rPr>
                <w:w w:val="95"/>
                <w:sz w:val="16"/>
              </w:rPr>
              <w:t>person</w:t>
            </w:r>
          </w:p>
        </w:tc>
        <w:tc>
          <w:tcPr>
            <w:tcW w:w="583" w:type="dxa"/>
          </w:tcPr>
          <w:p w14:paraId="323EC209" w14:textId="77777777" w:rsidR="00F65DFC" w:rsidRDefault="00F65DFC" w:rsidP="007A4637">
            <w:pPr>
              <w:pStyle w:val="TableParagraph"/>
              <w:spacing w:line="160" w:lineRule="exact"/>
              <w:ind w:left="163"/>
              <w:rPr>
                <w:sz w:val="16"/>
              </w:rPr>
            </w:pPr>
            <w:r>
              <w:rPr>
                <w:w w:val="95"/>
                <w:sz w:val="16"/>
              </w:rPr>
              <w:t>3.32</w:t>
            </w:r>
          </w:p>
        </w:tc>
        <w:tc>
          <w:tcPr>
            <w:tcW w:w="558" w:type="dxa"/>
          </w:tcPr>
          <w:p w14:paraId="2CA6AD09" w14:textId="77777777" w:rsidR="00F65DFC" w:rsidRDefault="00F65DFC" w:rsidP="007A4637">
            <w:pPr>
              <w:pStyle w:val="TableParagraph"/>
              <w:spacing w:line="160" w:lineRule="exact"/>
              <w:ind w:left="113"/>
              <w:rPr>
                <w:sz w:val="16"/>
              </w:rPr>
            </w:pPr>
            <w:r>
              <w:rPr>
                <w:w w:val="95"/>
                <w:sz w:val="16"/>
              </w:rPr>
              <w:t>0.772</w:t>
            </w:r>
          </w:p>
        </w:tc>
        <w:tc>
          <w:tcPr>
            <w:tcW w:w="1460" w:type="dxa"/>
          </w:tcPr>
          <w:p w14:paraId="1148FCFA" w14:textId="77777777" w:rsidR="00F65DFC" w:rsidRDefault="00F65DFC" w:rsidP="007A4637">
            <w:pPr>
              <w:pStyle w:val="TableParagraph"/>
              <w:spacing w:line="160" w:lineRule="exact"/>
              <w:ind w:left="113" w:right="1"/>
              <w:jc w:val="center"/>
              <w:rPr>
                <w:sz w:val="16"/>
              </w:rPr>
            </w:pPr>
            <w:r>
              <w:rPr>
                <w:w w:val="95"/>
                <w:sz w:val="16"/>
              </w:rPr>
              <w:t>0.48</w:t>
            </w:r>
          </w:p>
        </w:tc>
        <w:tc>
          <w:tcPr>
            <w:tcW w:w="120" w:type="dxa"/>
          </w:tcPr>
          <w:p w14:paraId="381DB9F8" w14:textId="77777777" w:rsidR="00F65DFC" w:rsidRDefault="00F65DFC" w:rsidP="007A4637">
            <w:pPr>
              <w:pStyle w:val="TableParagraph"/>
              <w:rPr>
                <w:rFonts w:ascii="Times New Roman"/>
                <w:sz w:val="12"/>
              </w:rPr>
            </w:pPr>
          </w:p>
        </w:tc>
      </w:tr>
      <w:tr w:rsidR="00F65DFC" w14:paraId="21E5FD77" w14:textId="77777777" w:rsidTr="007A4637">
        <w:trPr>
          <w:trHeight w:val="179"/>
        </w:trPr>
        <w:tc>
          <w:tcPr>
            <w:tcW w:w="660" w:type="dxa"/>
          </w:tcPr>
          <w:p w14:paraId="176C8506" w14:textId="77777777" w:rsidR="00F65DFC" w:rsidRDefault="00F65DFC" w:rsidP="007A4637">
            <w:pPr>
              <w:pStyle w:val="TableParagraph"/>
              <w:spacing w:line="160" w:lineRule="exact"/>
              <w:rPr>
                <w:sz w:val="16"/>
              </w:rPr>
            </w:pPr>
            <w:r>
              <w:rPr>
                <w:w w:val="95"/>
                <w:sz w:val="16"/>
              </w:rPr>
              <w:t>18</w:t>
            </w:r>
          </w:p>
        </w:tc>
        <w:tc>
          <w:tcPr>
            <w:tcW w:w="3653" w:type="dxa"/>
          </w:tcPr>
          <w:p w14:paraId="3937EFE7" w14:textId="77777777" w:rsidR="00F65DFC" w:rsidRDefault="00F65DFC" w:rsidP="007A4637">
            <w:pPr>
              <w:pStyle w:val="TableParagraph"/>
              <w:spacing w:line="160" w:lineRule="exact"/>
              <w:ind w:left="114"/>
              <w:rPr>
                <w:sz w:val="16"/>
              </w:rPr>
            </w:pPr>
            <w:r>
              <w:rPr>
                <w:w w:val="95"/>
                <w:sz w:val="16"/>
              </w:rPr>
              <w:t>Make</w:t>
            </w:r>
            <w:r>
              <w:rPr>
                <w:spacing w:val="3"/>
                <w:w w:val="95"/>
                <w:sz w:val="16"/>
              </w:rPr>
              <w:t xml:space="preserve"> </w:t>
            </w:r>
            <w:r>
              <w:rPr>
                <w:w w:val="95"/>
                <w:sz w:val="16"/>
              </w:rPr>
              <w:t>unpopular</w:t>
            </w:r>
            <w:r>
              <w:rPr>
                <w:spacing w:val="3"/>
                <w:w w:val="95"/>
                <w:sz w:val="16"/>
              </w:rPr>
              <w:t xml:space="preserve"> </w:t>
            </w:r>
            <w:r>
              <w:rPr>
                <w:w w:val="95"/>
                <w:sz w:val="16"/>
              </w:rPr>
              <w:t>or</w:t>
            </w:r>
            <w:r>
              <w:rPr>
                <w:spacing w:val="3"/>
                <w:w w:val="95"/>
                <w:sz w:val="16"/>
              </w:rPr>
              <w:t xml:space="preserve"> </w:t>
            </w:r>
            <w:r>
              <w:rPr>
                <w:w w:val="95"/>
                <w:sz w:val="16"/>
              </w:rPr>
              <w:t>difficult</w:t>
            </w:r>
            <w:r>
              <w:rPr>
                <w:spacing w:val="3"/>
                <w:w w:val="95"/>
                <w:sz w:val="16"/>
              </w:rPr>
              <w:t xml:space="preserve"> </w:t>
            </w:r>
            <w:r>
              <w:rPr>
                <w:w w:val="95"/>
                <w:sz w:val="16"/>
              </w:rPr>
              <w:t>decisions</w:t>
            </w:r>
          </w:p>
        </w:tc>
        <w:tc>
          <w:tcPr>
            <w:tcW w:w="583" w:type="dxa"/>
          </w:tcPr>
          <w:p w14:paraId="31FB37A7" w14:textId="77777777" w:rsidR="00F65DFC" w:rsidRDefault="00F65DFC" w:rsidP="007A4637">
            <w:pPr>
              <w:pStyle w:val="TableParagraph"/>
              <w:spacing w:line="160" w:lineRule="exact"/>
              <w:ind w:left="163"/>
              <w:rPr>
                <w:sz w:val="16"/>
              </w:rPr>
            </w:pPr>
            <w:r>
              <w:rPr>
                <w:w w:val="95"/>
                <w:sz w:val="16"/>
              </w:rPr>
              <w:t>2.62</w:t>
            </w:r>
          </w:p>
        </w:tc>
        <w:tc>
          <w:tcPr>
            <w:tcW w:w="558" w:type="dxa"/>
          </w:tcPr>
          <w:p w14:paraId="0D92C721" w14:textId="77777777" w:rsidR="00F65DFC" w:rsidRDefault="00F65DFC" w:rsidP="007A4637">
            <w:pPr>
              <w:pStyle w:val="TableParagraph"/>
              <w:spacing w:line="160" w:lineRule="exact"/>
              <w:ind w:left="113"/>
              <w:rPr>
                <w:sz w:val="16"/>
              </w:rPr>
            </w:pPr>
            <w:r>
              <w:rPr>
                <w:w w:val="95"/>
                <w:sz w:val="16"/>
              </w:rPr>
              <w:t>1.043</w:t>
            </w:r>
          </w:p>
        </w:tc>
        <w:tc>
          <w:tcPr>
            <w:tcW w:w="1460" w:type="dxa"/>
          </w:tcPr>
          <w:p w14:paraId="52EDFF13" w14:textId="77777777" w:rsidR="00F65DFC" w:rsidRDefault="00F65DFC" w:rsidP="007A4637">
            <w:pPr>
              <w:pStyle w:val="TableParagraph"/>
              <w:spacing w:line="160" w:lineRule="exact"/>
              <w:ind w:left="113" w:right="1"/>
              <w:jc w:val="center"/>
              <w:rPr>
                <w:sz w:val="16"/>
              </w:rPr>
            </w:pPr>
            <w:r>
              <w:rPr>
                <w:w w:val="95"/>
                <w:sz w:val="16"/>
              </w:rPr>
              <w:t>0.59</w:t>
            </w:r>
          </w:p>
        </w:tc>
        <w:tc>
          <w:tcPr>
            <w:tcW w:w="120" w:type="dxa"/>
          </w:tcPr>
          <w:p w14:paraId="0F5F5DB0" w14:textId="77777777" w:rsidR="00F65DFC" w:rsidRDefault="00F65DFC" w:rsidP="007A4637">
            <w:pPr>
              <w:pStyle w:val="TableParagraph"/>
              <w:rPr>
                <w:rFonts w:ascii="Times New Roman"/>
                <w:sz w:val="12"/>
              </w:rPr>
            </w:pPr>
          </w:p>
        </w:tc>
      </w:tr>
      <w:tr w:rsidR="00F65DFC" w14:paraId="1F33AA6B" w14:textId="77777777" w:rsidTr="007A4637">
        <w:trPr>
          <w:trHeight w:val="179"/>
        </w:trPr>
        <w:tc>
          <w:tcPr>
            <w:tcW w:w="660" w:type="dxa"/>
          </w:tcPr>
          <w:p w14:paraId="0F398DCF" w14:textId="77777777" w:rsidR="00F65DFC" w:rsidRDefault="00F65DFC" w:rsidP="007A4637">
            <w:pPr>
              <w:pStyle w:val="TableParagraph"/>
              <w:spacing w:line="159" w:lineRule="exact"/>
              <w:rPr>
                <w:sz w:val="16"/>
              </w:rPr>
            </w:pPr>
            <w:r>
              <w:rPr>
                <w:w w:val="95"/>
                <w:sz w:val="16"/>
              </w:rPr>
              <w:t>19</w:t>
            </w:r>
          </w:p>
        </w:tc>
        <w:tc>
          <w:tcPr>
            <w:tcW w:w="3653" w:type="dxa"/>
          </w:tcPr>
          <w:p w14:paraId="2E01EDEE" w14:textId="77777777" w:rsidR="00F65DFC" w:rsidRDefault="00F65DFC" w:rsidP="007A4637">
            <w:pPr>
              <w:pStyle w:val="TableParagraph"/>
              <w:spacing w:line="159" w:lineRule="exact"/>
              <w:ind w:left="114"/>
              <w:rPr>
                <w:sz w:val="16"/>
              </w:rPr>
            </w:pPr>
            <w:r>
              <w:rPr>
                <w:w w:val="95"/>
                <w:sz w:val="16"/>
              </w:rPr>
              <w:t>Can</w:t>
            </w:r>
            <w:r>
              <w:rPr>
                <w:spacing w:val="5"/>
                <w:w w:val="95"/>
                <w:sz w:val="16"/>
              </w:rPr>
              <w:t xml:space="preserve"> </w:t>
            </w:r>
            <w:r>
              <w:rPr>
                <w:w w:val="95"/>
                <w:sz w:val="16"/>
              </w:rPr>
              <w:t>handle</w:t>
            </w:r>
            <w:r>
              <w:rPr>
                <w:spacing w:val="5"/>
                <w:w w:val="95"/>
                <w:sz w:val="16"/>
              </w:rPr>
              <w:t xml:space="preserve"> </w:t>
            </w:r>
            <w:r>
              <w:rPr>
                <w:w w:val="95"/>
                <w:sz w:val="16"/>
              </w:rPr>
              <w:t>unpleasant</w:t>
            </w:r>
            <w:r>
              <w:rPr>
                <w:spacing w:val="5"/>
                <w:w w:val="95"/>
                <w:sz w:val="16"/>
              </w:rPr>
              <w:t xml:space="preserve"> </w:t>
            </w:r>
            <w:r>
              <w:rPr>
                <w:w w:val="95"/>
                <w:sz w:val="16"/>
              </w:rPr>
              <w:t>feelings</w:t>
            </w:r>
          </w:p>
        </w:tc>
        <w:tc>
          <w:tcPr>
            <w:tcW w:w="583" w:type="dxa"/>
          </w:tcPr>
          <w:p w14:paraId="1B1191FD" w14:textId="77777777" w:rsidR="00F65DFC" w:rsidRDefault="00F65DFC" w:rsidP="007A4637">
            <w:pPr>
              <w:pStyle w:val="TableParagraph"/>
              <w:spacing w:line="159" w:lineRule="exact"/>
              <w:ind w:left="163"/>
              <w:rPr>
                <w:sz w:val="16"/>
              </w:rPr>
            </w:pPr>
            <w:r>
              <w:rPr>
                <w:w w:val="95"/>
                <w:sz w:val="16"/>
              </w:rPr>
              <w:t>2.82</w:t>
            </w:r>
          </w:p>
        </w:tc>
        <w:tc>
          <w:tcPr>
            <w:tcW w:w="558" w:type="dxa"/>
          </w:tcPr>
          <w:p w14:paraId="0C1A582D" w14:textId="77777777" w:rsidR="00F65DFC" w:rsidRDefault="00F65DFC" w:rsidP="007A4637">
            <w:pPr>
              <w:pStyle w:val="TableParagraph"/>
              <w:spacing w:line="159" w:lineRule="exact"/>
              <w:ind w:left="113"/>
              <w:rPr>
                <w:sz w:val="16"/>
              </w:rPr>
            </w:pPr>
            <w:r>
              <w:rPr>
                <w:w w:val="95"/>
                <w:sz w:val="16"/>
              </w:rPr>
              <w:t>0.959</w:t>
            </w:r>
          </w:p>
        </w:tc>
        <w:tc>
          <w:tcPr>
            <w:tcW w:w="1460" w:type="dxa"/>
          </w:tcPr>
          <w:p w14:paraId="69B571D7" w14:textId="77777777" w:rsidR="00F65DFC" w:rsidRDefault="00F65DFC" w:rsidP="007A4637">
            <w:pPr>
              <w:pStyle w:val="TableParagraph"/>
              <w:spacing w:line="159" w:lineRule="exact"/>
              <w:ind w:left="113" w:right="1"/>
              <w:jc w:val="center"/>
              <w:rPr>
                <w:sz w:val="16"/>
              </w:rPr>
            </w:pPr>
            <w:r>
              <w:rPr>
                <w:w w:val="95"/>
                <w:sz w:val="16"/>
              </w:rPr>
              <w:t>0.59</w:t>
            </w:r>
          </w:p>
        </w:tc>
        <w:tc>
          <w:tcPr>
            <w:tcW w:w="120" w:type="dxa"/>
          </w:tcPr>
          <w:p w14:paraId="70DD277C" w14:textId="77777777" w:rsidR="00F65DFC" w:rsidRDefault="00F65DFC" w:rsidP="007A4637">
            <w:pPr>
              <w:pStyle w:val="TableParagraph"/>
              <w:rPr>
                <w:rFonts w:ascii="Times New Roman"/>
                <w:sz w:val="12"/>
              </w:rPr>
            </w:pPr>
          </w:p>
        </w:tc>
      </w:tr>
      <w:tr w:rsidR="00F65DFC" w14:paraId="295201B8" w14:textId="77777777" w:rsidTr="007A4637">
        <w:trPr>
          <w:trHeight w:val="179"/>
        </w:trPr>
        <w:tc>
          <w:tcPr>
            <w:tcW w:w="660" w:type="dxa"/>
          </w:tcPr>
          <w:p w14:paraId="1C1D9D85" w14:textId="77777777" w:rsidR="00F65DFC" w:rsidRDefault="00F65DFC" w:rsidP="007A4637">
            <w:pPr>
              <w:pStyle w:val="TableParagraph"/>
              <w:spacing w:line="159" w:lineRule="exact"/>
              <w:rPr>
                <w:sz w:val="16"/>
              </w:rPr>
            </w:pPr>
            <w:r>
              <w:rPr>
                <w:w w:val="95"/>
                <w:sz w:val="16"/>
              </w:rPr>
              <w:t>20</w:t>
            </w:r>
          </w:p>
        </w:tc>
        <w:tc>
          <w:tcPr>
            <w:tcW w:w="3653" w:type="dxa"/>
          </w:tcPr>
          <w:p w14:paraId="3730B835" w14:textId="77777777" w:rsidR="00F65DFC" w:rsidRDefault="00F65DFC" w:rsidP="007A4637">
            <w:pPr>
              <w:pStyle w:val="TableParagraph"/>
              <w:spacing w:line="159" w:lineRule="exact"/>
              <w:ind w:left="114"/>
              <w:rPr>
                <w:sz w:val="16"/>
              </w:rPr>
            </w:pPr>
            <w:r>
              <w:rPr>
                <w:w w:val="95"/>
                <w:sz w:val="16"/>
              </w:rPr>
              <w:t>Have</w:t>
            </w:r>
            <w:r>
              <w:rPr>
                <w:spacing w:val="9"/>
                <w:w w:val="95"/>
                <w:sz w:val="16"/>
              </w:rPr>
              <w:t xml:space="preserve"> </w:t>
            </w:r>
            <w:r>
              <w:rPr>
                <w:w w:val="95"/>
                <w:sz w:val="16"/>
              </w:rPr>
              <w:t>to</w:t>
            </w:r>
            <w:r>
              <w:rPr>
                <w:spacing w:val="8"/>
                <w:w w:val="95"/>
                <w:sz w:val="16"/>
              </w:rPr>
              <w:t xml:space="preserve"> </w:t>
            </w:r>
            <w:r>
              <w:rPr>
                <w:w w:val="95"/>
                <w:sz w:val="16"/>
              </w:rPr>
              <w:t>act</w:t>
            </w:r>
            <w:r>
              <w:rPr>
                <w:spacing w:val="9"/>
                <w:w w:val="95"/>
                <w:sz w:val="16"/>
              </w:rPr>
              <w:t xml:space="preserve"> </w:t>
            </w:r>
            <w:r>
              <w:rPr>
                <w:w w:val="95"/>
                <w:sz w:val="16"/>
              </w:rPr>
              <w:t>on</w:t>
            </w:r>
            <w:r>
              <w:rPr>
                <w:spacing w:val="9"/>
                <w:w w:val="95"/>
                <w:sz w:val="16"/>
              </w:rPr>
              <w:t xml:space="preserve"> </w:t>
            </w:r>
            <w:r>
              <w:rPr>
                <w:w w:val="95"/>
                <w:sz w:val="16"/>
              </w:rPr>
              <w:t>a</w:t>
            </w:r>
            <w:r>
              <w:rPr>
                <w:spacing w:val="9"/>
                <w:w w:val="95"/>
                <w:sz w:val="16"/>
              </w:rPr>
              <w:t xml:space="preserve"> </w:t>
            </w:r>
            <w:r>
              <w:rPr>
                <w:w w:val="95"/>
                <w:sz w:val="16"/>
              </w:rPr>
              <w:t>hunch,</w:t>
            </w:r>
            <w:r>
              <w:rPr>
                <w:spacing w:val="10"/>
                <w:w w:val="95"/>
                <w:sz w:val="16"/>
              </w:rPr>
              <w:t xml:space="preserve"> </w:t>
            </w:r>
            <w:r>
              <w:rPr>
                <w:w w:val="95"/>
                <w:sz w:val="16"/>
              </w:rPr>
              <w:t>without</w:t>
            </w:r>
            <w:r>
              <w:rPr>
                <w:spacing w:val="8"/>
                <w:w w:val="95"/>
                <w:sz w:val="16"/>
              </w:rPr>
              <w:t xml:space="preserve"> </w:t>
            </w:r>
            <w:r>
              <w:rPr>
                <w:w w:val="95"/>
                <w:sz w:val="16"/>
              </w:rPr>
              <w:t>knowing</w:t>
            </w:r>
            <w:r>
              <w:rPr>
                <w:spacing w:val="9"/>
                <w:w w:val="95"/>
                <w:sz w:val="16"/>
              </w:rPr>
              <w:t xml:space="preserve"> </w:t>
            </w:r>
            <w:r>
              <w:rPr>
                <w:w w:val="95"/>
                <w:sz w:val="16"/>
              </w:rPr>
              <w:t>why</w:t>
            </w:r>
          </w:p>
        </w:tc>
        <w:tc>
          <w:tcPr>
            <w:tcW w:w="583" w:type="dxa"/>
          </w:tcPr>
          <w:p w14:paraId="63178844" w14:textId="77777777" w:rsidR="00F65DFC" w:rsidRDefault="00F65DFC" w:rsidP="007A4637">
            <w:pPr>
              <w:pStyle w:val="TableParagraph"/>
              <w:spacing w:line="159" w:lineRule="exact"/>
              <w:ind w:left="163"/>
              <w:rPr>
                <w:sz w:val="16"/>
              </w:rPr>
            </w:pPr>
            <w:r>
              <w:rPr>
                <w:w w:val="95"/>
                <w:sz w:val="16"/>
              </w:rPr>
              <w:t>2.35</w:t>
            </w:r>
          </w:p>
        </w:tc>
        <w:tc>
          <w:tcPr>
            <w:tcW w:w="558" w:type="dxa"/>
          </w:tcPr>
          <w:p w14:paraId="18D38FB1" w14:textId="77777777" w:rsidR="00F65DFC" w:rsidRDefault="00F65DFC" w:rsidP="007A4637">
            <w:pPr>
              <w:pStyle w:val="TableParagraph"/>
              <w:spacing w:line="159" w:lineRule="exact"/>
              <w:ind w:left="113"/>
              <w:rPr>
                <w:sz w:val="16"/>
              </w:rPr>
            </w:pPr>
            <w:r>
              <w:rPr>
                <w:w w:val="95"/>
                <w:sz w:val="16"/>
              </w:rPr>
              <w:t>1.086</w:t>
            </w:r>
          </w:p>
        </w:tc>
        <w:tc>
          <w:tcPr>
            <w:tcW w:w="1460" w:type="dxa"/>
          </w:tcPr>
          <w:p w14:paraId="073C3DDD" w14:textId="77777777" w:rsidR="00F65DFC" w:rsidRDefault="00F65DFC" w:rsidP="007A4637">
            <w:pPr>
              <w:pStyle w:val="TableParagraph"/>
              <w:spacing w:line="159" w:lineRule="exact"/>
              <w:ind w:left="113" w:right="1"/>
              <w:jc w:val="center"/>
              <w:rPr>
                <w:sz w:val="16"/>
              </w:rPr>
            </w:pPr>
            <w:r>
              <w:rPr>
                <w:w w:val="95"/>
                <w:sz w:val="16"/>
              </w:rPr>
              <w:t>0.64</w:t>
            </w:r>
          </w:p>
        </w:tc>
        <w:tc>
          <w:tcPr>
            <w:tcW w:w="120" w:type="dxa"/>
          </w:tcPr>
          <w:p w14:paraId="2D1E027B" w14:textId="77777777" w:rsidR="00F65DFC" w:rsidRDefault="00F65DFC" w:rsidP="007A4637">
            <w:pPr>
              <w:pStyle w:val="TableParagraph"/>
              <w:rPr>
                <w:rFonts w:ascii="Times New Roman"/>
                <w:sz w:val="12"/>
              </w:rPr>
            </w:pPr>
          </w:p>
        </w:tc>
      </w:tr>
      <w:tr w:rsidR="00F65DFC" w14:paraId="61670D73" w14:textId="77777777" w:rsidTr="007A4637">
        <w:trPr>
          <w:trHeight w:val="179"/>
        </w:trPr>
        <w:tc>
          <w:tcPr>
            <w:tcW w:w="660" w:type="dxa"/>
          </w:tcPr>
          <w:p w14:paraId="4A18BE4B" w14:textId="77777777" w:rsidR="00F65DFC" w:rsidRDefault="00F65DFC" w:rsidP="007A4637">
            <w:pPr>
              <w:pStyle w:val="TableParagraph"/>
              <w:spacing w:line="159" w:lineRule="exact"/>
              <w:rPr>
                <w:sz w:val="16"/>
              </w:rPr>
            </w:pPr>
            <w:r>
              <w:rPr>
                <w:w w:val="95"/>
                <w:sz w:val="16"/>
              </w:rPr>
              <w:t>21</w:t>
            </w:r>
          </w:p>
        </w:tc>
        <w:tc>
          <w:tcPr>
            <w:tcW w:w="3653" w:type="dxa"/>
          </w:tcPr>
          <w:p w14:paraId="324923E8" w14:textId="77777777" w:rsidR="00F65DFC" w:rsidRDefault="00F65DFC" w:rsidP="007A4637">
            <w:pPr>
              <w:pStyle w:val="TableParagraph"/>
              <w:spacing w:line="159" w:lineRule="exact"/>
              <w:ind w:left="114"/>
              <w:rPr>
                <w:sz w:val="16"/>
              </w:rPr>
            </w:pPr>
            <w:r>
              <w:rPr>
                <w:w w:val="95"/>
                <w:sz w:val="16"/>
              </w:rPr>
              <w:t>Strong</w:t>
            </w:r>
            <w:r>
              <w:rPr>
                <w:spacing w:val="5"/>
                <w:w w:val="95"/>
                <w:sz w:val="16"/>
              </w:rPr>
              <w:t xml:space="preserve"> </w:t>
            </w:r>
            <w:r>
              <w:rPr>
                <w:w w:val="95"/>
                <w:sz w:val="16"/>
              </w:rPr>
              <w:t>sense</w:t>
            </w:r>
            <w:r>
              <w:rPr>
                <w:spacing w:val="5"/>
                <w:w w:val="95"/>
                <w:sz w:val="16"/>
              </w:rPr>
              <w:t xml:space="preserve"> </w:t>
            </w:r>
            <w:r>
              <w:rPr>
                <w:w w:val="95"/>
                <w:sz w:val="16"/>
              </w:rPr>
              <w:t>of</w:t>
            </w:r>
            <w:r>
              <w:rPr>
                <w:spacing w:val="5"/>
                <w:w w:val="95"/>
                <w:sz w:val="16"/>
              </w:rPr>
              <w:t xml:space="preserve"> </w:t>
            </w:r>
            <w:r>
              <w:rPr>
                <w:w w:val="95"/>
                <w:sz w:val="16"/>
              </w:rPr>
              <w:t>purpose</w:t>
            </w:r>
            <w:r>
              <w:rPr>
                <w:spacing w:val="5"/>
                <w:w w:val="95"/>
                <w:sz w:val="16"/>
              </w:rPr>
              <w:t xml:space="preserve"> </w:t>
            </w:r>
            <w:r>
              <w:rPr>
                <w:w w:val="95"/>
                <w:sz w:val="16"/>
              </w:rPr>
              <w:t>in</w:t>
            </w:r>
            <w:r>
              <w:rPr>
                <w:spacing w:val="5"/>
                <w:w w:val="95"/>
                <w:sz w:val="16"/>
              </w:rPr>
              <w:t xml:space="preserve"> </w:t>
            </w:r>
            <w:r>
              <w:rPr>
                <w:w w:val="95"/>
                <w:sz w:val="16"/>
              </w:rPr>
              <w:t>life</w:t>
            </w:r>
          </w:p>
        </w:tc>
        <w:tc>
          <w:tcPr>
            <w:tcW w:w="583" w:type="dxa"/>
          </w:tcPr>
          <w:p w14:paraId="3AF33AE5" w14:textId="77777777" w:rsidR="00F65DFC" w:rsidRDefault="00F65DFC" w:rsidP="007A4637">
            <w:pPr>
              <w:pStyle w:val="TableParagraph"/>
              <w:spacing w:line="159" w:lineRule="exact"/>
              <w:ind w:left="163"/>
              <w:rPr>
                <w:sz w:val="16"/>
              </w:rPr>
            </w:pPr>
            <w:r>
              <w:rPr>
                <w:w w:val="95"/>
                <w:sz w:val="16"/>
              </w:rPr>
              <w:t>3.27</w:t>
            </w:r>
          </w:p>
        </w:tc>
        <w:tc>
          <w:tcPr>
            <w:tcW w:w="558" w:type="dxa"/>
          </w:tcPr>
          <w:p w14:paraId="20274533" w14:textId="77777777" w:rsidR="00F65DFC" w:rsidRDefault="00F65DFC" w:rsidP="007A4637">
            <w:pPr>
              <w:pStyle w:val="TableParagraph"/>
              <w:spacing w:line="159" w:lineRule="exact"/>
              <w:ind w:left="113"/>
              <w:rPr>
                <w:sz w:val="16"/>
              </w:rPr>
            </w:pPr>
            <w:r>
              <w:rPr>
                <w:w w:val="95"/>
                <w:sz w:val="16"/>
              </w:rPr>
              <w:t>0.812</w:t>
            </w:r>
          </w:p>
        </w:tc>
        <w:tc>
          <w:tcPr>
            <w:tcW w:w="1460" w:type="dxa"/>
          </w:tcPr>
          <w:p w14:paraId="1D967F7C" w14:textId="77777777" w:rsidR="00F65DFC" w:rsidRDefault="00F65DFC" w:rsidP="007A4637">
            <w:pPr>
              <w:pStyle w:val="TableParagraph"/>
              <w:spacing w:line="159" w:lineRule="exact"/>
              <w:ind w:left="113" w:right="1"/>
              <w:jc w:val="center"/>
              <w:rPr>
                <w:sz w:val="16"/>
              </w:rPr>
            </w:pPr>
            <w:r>
              <w:rPr>
                <w:w w:val="95"/>
                <w:sz w:val="16"/>
              </w:rPr>
              <w:t>0.52</w:t>
            </w:r>
          </w:p>
        </w:tc>
        <w:tc>
          <w:tcPr>
            <w:tcW w:w="120" w:type="dxa"/>
          </w:tcPr>
          <w:p w14:paraId="31A5763D" w14:textId="77777777" w:rsidR="00F65DFC" w:rsidRDefault="00F65DFC" w:rsidP="007A4637">
            <w:pPr>
              <w:pStyle w:val="TableParagraph"/>
              <w:rPr>
                <w:rFonts w:ascii="Times New Roman"/>
                <w:sz w:val="12"/>
              </w:rPr>
            </w:pPr>
          </w:p>
        </w:tc>
      </w:tr>
      <w:tr w:rsidR="00F65DFC" w14:paraId="45CB4EC0" w14:textId="77777777" w:rsidTr="007A4637">
        <w:trPr>
          <w:trHeight w:val="179"/>
        </w:trPr>
        <w:tc>
          <w:tcPr>
            <w:tcW w:w="660" w:type="dxa"/>
          </w:tcPr>
          <w:p w14:paraId="497BD236" w14:textId="77777777" w:rsidR="00F65DFC" w:rsidRDefault="00F65DFC" w:rsidP="007A4637">
            <w:pPr>
              <w:pStyle w:val="TableParagraph"/>
              <w:spacing w:line="159" w:lineRule="exact"/>
              <w:rPr>
                <w:sz w:val="16"/>
              </w:rPr>
            </w:pPr>
            <w:r>
              <w:rPr>
                <w:w w:val="95"/>
                <w:sz w:val="16"/>
              </w:rPr>
              <w:t>22</w:t>
            </w:r>
          </w:p>
        </w:tc>
        <w:tc>
          <w:tcPr>
            <w:tcW w:w="3653" w:type="dxa"/>
          </w:tcPr>
          <w:p w14:paraId="2E3C4EDD" w14:textId="77777777" w:rsidR="00F65DFC" w:rsidRDefault="00F65DFC" w:rsidP="007A4637">
            <w:pPr>
              <w:pStyle w:val="TableParagraph"/>
              <w:spacing w:line="159" w:lineRule="exact"/>
              <w:ind w:left="114"/>
              <w:rPr>
                <w:sz w:val="16"/>
              </w:rPr>
            </w:pPr>
            <w:r>
              <w:rPr>
                <w:w w:val="95"/>
                <w:sz w:val="16"/>
              </w:rPr>
              <w:t>In</w:t>
            </w:r>
            <w:r>
              <w:rPr>
                <w:spacing w:val="6"/>
                <w:w w:val="95"/>
                <w:sz w:val="16"/>
              </w:rPr>
              <w:t xml:space="preserve"> </w:t>
            </w:r>
            <w:r>
              <w:rPr>
                <w:w w:val="95"/>
                <w:sz w:val="16"/>
              </w:rPr>
              <w:t>control</w:t>
            </w:r>
            <w:r>
              <w:rPr>
                <w:spacing w:val="6"/>
                <w:w w:val="95"/>
                <w:sz w:val="16"/>
              </w:rPr>
              <w:t xml:space="preserve"> </w:t>
            </w:r>
            <w:r>
              <w:rPr>
                <w:w w:val="95"/>
                <w:sz w:val="16"/>
              </w:rPr>
              <w:t>of</w:t>
            </w:r>
            <w:r>
              <w:rPr>
                <w:spacing w:val="7"/>
                <w:w w:val="95"/>
                <w:sz w:val="16"/>
              </w:rPr>
              <w:t xml:space="preserve"> </w:t>
            </w:r>
            <w:r>
              <w:rPr>
                <w:w w:val="95"/>
                <w:sz w:val="16"/>
              </w:rPr>
              <w:t>my</w:t>
            </w:r>
            <w:r>
              <w:rPr>
                <w:spacing w:val="6"/>
                <w:w w:val="95"/>
                <w:sz w:val="16"/>
              </w:rPr>
              <w:t xml:space="preserve"> </w:t>
            </w:r>
            <w:r>
              <w:rPr>
                <w:w w:val="95"/>
                <w:sz w:val="16"/>
              </w:rPr>
              <w:t>life</w:t>
            </w:r>
          </w:p>
        </w:tc>
        <w:tc>
          <w:tcPr>
            <w:tcW w:w="583" w:type="dxa"/>
          </w:tcPr>
          <w:p w14:paraId="5AAA47AE" w14:textId="77777777" w:rsidR="00F65DFC" w:rsidRDefault="00F65DFC" w:rsidP="007A4637">
            <w:pPr>
              <w:pStyle w:val="TableParagraph"/>
              <w:spacing w:line="159" w:lineRule="exact"/>
              <w:ind w:left="163"/>
              <w:rPr>
                <w:sz w:val="16"/>
              </w:rPr>
            </w:pPr>
            <w:r>
              <w:rPr>
                <w:w w:val="95"/>
                <w:sz w:val="16"/>
              </w:rPr>
              <w:t>2.95</w:t>
            </w:r>
          </w:p>
        </w:tc>
        <w:tc>
          <w:tcPr>
            <w:tcW w:w="558" w:type="dxa"/>
          </w:tcPr>
          <w:p w14:paraId="518CBE6B" w14:textId="77777777" w:rsidR="00F65DFC" w:rsidRDefault="00F65DFC" w:rsidP="007A4637">
            <w:pPr>
              <w:pStyle w:val="TableParagraph"/>
              <w:spacing w:line="159" w:lineRule="exact"/>
              <w:ind w:left="113"/>
              <w:rPr>
                <w:sz w:val="16"/>
              </w:rPr>
            </w:pPr>
            <w:r>
              <w:rPr>
                <w:w w:val="95"/>
                <w:sz w:val="16"/>
              </w:rPr>
              <w:t>0.931</w:t>
            </w:r>
          </w:p>
        </w:tc>
        <w:tc>
          <w:tcPr>
            <w:tcW w:w="1460" w:type="dxa"/>
          </w:tcPr>
          <w:p w14:paraId="1F71F167" w14:textId="77777777" w:rsidR="00F65DFC" w:rsidRDefault="00F65DFC" w:rsidP="007A4637">
            <w:pPr>
              <w:pStyle w:val="TableParagraph"/>
              <w:spacing w:line="159" w:lineRule="exact"/>
              <w:ind w:left="113" w:right="1"/>
              <w:jc w:val="center"/>
              <w:rPr>
                <w:sz w:val="16"/>
              </w:rPr>
            </w:pPr>
            <w:r>
              <w:rPr>
                <w:w w:val="95"/>
                <w:sz w:val="16"/>
              </w:rPr>
              <w:t>0.49</w:t>
            </w:r>
          </w:p>
        </w:tc>
        <w:tc>
          <w:tcPr>
            <w:tcW w:w="120" w:type="dxa"/>
          </w:tcPr>
          <w:p w14:paraId="7146D0C9" w14:textId="77777777" w:rsidR="00F65DFC" w:rsidRDefault="00F65DFC" w:rsidP="007A4637">
            <w:pPr>
              <w:pStyle w:val="TableParagraph"/>
              <w:rPr>
                <w:rFonts w:ascii="Times New Roman"/>
                <w:sz w:val="12"/>
              </w:rPr>
            </w:pPr>
          </w:p>
        </w:tc>
      </w:tr>
      <w:tr w:rsidR="00F65DFC" w14:paraId="1E6B52C4" w14:textId="77777777" w:rsidTr="007A4637">
        <w:trPr>
          <w:trHeight w:val="179"/>
        </w:trPr>
        <w:tc>
          <w:tcPr>
            <w:tcW w:w="660" w:type="dxa"/>
          </w:tcPr>
          <w:p w14:paraId="2398FBF6" w14:textId="77777777" w:rsidR="00F65DFC" w:rsidRDefault="00F65DFC" w:rsidP="007A4637">
            <w:pPr>
              <w:pStyle w:val="TableParagraph"/>
              <w:spacing w:line="160" w:lineRule="exact"/>
              <w:rPr>
                <w:sz w:val="16"/>
              </w:rPr>
            </w:pPr>
            <w:r>
              <w:rPr>
                <w:w w:val="95"/>
                <w:sz w:val="16"/>
              </w:rPr>
              <w:t>23</w:t>
            </w:r>
          </w:p>
        </w:tc>
        <w:tc>
          <w:tcPr>
            <w:tcW w:w="3653" w:type="dxa"/>
          </w:tcPr>
          <w:p w14:paraId="3F06C889" w14:textId="77777777" w:rsidR="00F65DFC" w:rsidRDefault="00F65DFC" w:rsidP="007A4637">
            <w:pPr>
              <w:pStyle w:val="TableParagraph"/>
              <w:spacing w:line="160" w:lineRule="exact"/>
              <w:ind w:left="114"/>
              <w:rPr>
                <w:sz w:val="16"/>
              </w:rPr>
            </w:pPr>
            <w:r>
              <w:rPr>
                <w:w w:val="95"/>
                <w:sz w:val="16"/>
              </w:rPr>
              <w:t>I</w:t>
            </w:r>
            <w:r>
              <w:rPr>
                <w:spacing w:val="5"/>
                <w:w w:val="95"/>
                <w:sz w:val="16"/>
              </w:rPr>
              <w:t xml:space="preserve"> </w:t>
            </w:r>
            <w:r>
              <w:rPr>
                <w:w w:val="95"/>
                <w:sz w:val="16"/>
              </w:rPr>
              <w:t>like</w:t>
            </w:r>
            <w:r>
              <w:rPr>
                <w:spacing w:val="6"/>
                <w:w w:val="95"/>
                <w:sz w:val="16"/>
              </w:rPr>
              <w:t xml:space="preserve"> </w:t>
            </w:r>
            <w:r>
              <w:rPr>
                <w:w w:val="95"/>
                <w:sz w:val="16"/>
              </w:rPr>
              <w:t>challenge</w:t>
            </w:r>
          </w:p>
        </w:tc>
        <w:tc>
          <w:tcPr>
            <w:tcW w:w="583" w:type="dxa"/>
          </w:tcPr>
          <w:p w14:paraId="02480425" w14:textId="77777777" w:rsidR="00F65DFC" w:rsidRDefault="00F65DFC" w:rsidP="007A4637">
            <w:pPr>
              <w:pStyle w:val="TableParagraph"/>
              <w:spacing w:line="160" w:lineRule="exact"/>
              <w:ind w:left="163"/>
              <w:rPr>
                <w:sz w:val="16"/>
              </w:rPr>
            </w:pPr>
            <w:r>
              <w:rPr>
                <w:w w:val="95"/>
                <w:sz w:val="16"/>
              </w:rPr>
              <w:t>3.5</w:t>
            </w:r>
          </w:p>
        </w:tc>
        <w:tc>
          <w:tcPr>
            <w:tcW w:w="558" w:type="dxa"/>
          </w:tcPr>
          <w:p w14:paraId="1FD3A0C9" w14:textId="77777777" w:rsidR="00F65DFC" w:rsidRDefault="00F65DFC" w:rsidP="007A4637">
            <w:pPr>
              <w:pStyle w:val="TableParagraph"/>
              <w:spacing w:line="160" w:lineRule="exact"/>
              <w:ind w:left="113"/>
              <w:rPr>
                <w:sz w:val="16"/>
              </w:rPr>
            </w:pPr>
            <w:r>
              <w:rPr>
                <w:w w:val="95"/>
                <w:sz w:val="16"/>
              </w:rPr>
              <w:t>0.679</w:t>
            </w:r>
          </w:p>
        </w:tc>
        <w:tc>
          <w:tcPr>
            <w:tcW w:w="1460" w:type="dxa"/>
          </w:tcPr>
          <w:p w14:paraId="14CC1258" w14:textId="77777777" w:rsidR="00F65DFC" w:rsidRDefault="00F65DFC" w:rsidP="007A4637">
            <w:pPr>
              <w:pStyle w:val="TableParagraph"/>
              <w:spacing w:line="160" w:lineRule="exact"/>
              <w:ind w:left="113" w:right="1"/>
              <w:jc w:val="center"/>
              <w:rPr>
                <w:sz w:val="16"/>
              </w:rPr>
            </w:pPr>
            <w:r>
              <w:rPr>
                <w:w w:val="95"/>
                <w:sz w:val="16"/>
              </w:rPr>
              <w:t>0.51</w:t>
            </w:r>
          </w:p>
        </w:tc>
        <w:tc>
          <w:tcPr>
            <w:tcW w:w="120" w:type="dxa"/>
          </w:tcPr>
          <w:p w14:paraId="73E883D8" w14:textId="77777777" w:rsidR="00F65DFC" w:rsidRDefault="00F65DFC" w:rsidP="007A4637">
            <w:pPr>
              <w:pStyle w:val="TableParagraph"/>
              <w:rPr>
                <w:rFonts w:ascii="Times New Roman"/>
                <w:sz w:val="12"/>
              </w:rPr>
            </w:pPr>
          </w:p>
        </w:tc>
      </w:tr>
      <w:tr w:rsidR="00F65DFC" w14:paraId="61E13F3A" w14:textId="77777777" w:rsidTr="007A4637">
        <w:trPr>
          <w:trHeight w:val="179"/>
        </w:trPr>
        <w:tc>
          <w:tcPr>
            <w:tcW w:w="660" w:type="dxa"/>
          </w:tcPr>
          <w:p w14:paraId="1652FB54" w14:textId="77777777" w:rsidR="00F65DFC" w:rsidRDefault="00F65DFC" w:rsidP="007A4637">
            <w:pPr>
              <w:pStyle w:val="TableParagraph"/>
              <w:spacing w:line="160" w:lineRule="exact"/>
              <w:rPr>
                <w:sz w:val="16"/>
              </w:rPr>
            </w:pPr>
            <w:r>
              <w:rPr>
                <w:w w:val="95"/>
                <w:sz w:val="16"/>
              </w:rPr>
              <w:t>24</w:t>
            </w:r>
          </w:p>
        </w:tc>
        <w:tc>
          <w:tcPr>
            <w:tcW w:w="3653" w:type="dxa"/>
          </w:tcPr>
          <w:p w14:paraId="08807BFE" w14:textId="77777777" w:rsidR="00F65DFC" w:rsidRDefault="00F65DFC" w:rsidP="007A4637">
            <w:pPr>
              <w:pStyle w:val="TableParagraph"/>
              <w:spacing w:line="160" w:lineRule="exact"/>
              <w:ind w:left="114"/>
              <w:rPr>
                <w:sz w:val="16"/>
              </w:rPr>
            </w:pPr>
            <w:r>
              <w:rPr>
                <w:w w:val="95"/>
                <w:sz w:val="16"/>
              </w:rPr>
              <w:t>One</w:t>
            </w:r>
            <w:r>
              <w:rPr>
                <w:spacing w:val="4"/>
                <w:w w:val="95"/>
                <w:sz w:val="16"/>
              </w:rPr>
              <w:t xml:space="preserve"> </w:t>
            </w:r>
            <w:r>
              <w:rPr>
                <w:w w:val="95"/>
                <w:sz w:val="16"/>
              </w:rPr>
              <w:t>works</w:t>
            </w:r>
            <w:r>
              <w:rPr>
                <w:spacing w:val="3"/>
                <w:w w:val="95"/>
                <w:sz w:val="16"/>
              </w:rPr>
              <w:t xml:space="preserve"> </w:t>
            </w:r>
            <w:r>
              <w:rPr>
                <w:w w:val="95"/>
                <w:sz w:val="16"/>
              </w:rPr>
              <w:t>to</w:t>
            </w:r>
            <w:r>
              <w:rPr>
                <w:spacing w:val="4"/>
                <w:w w:val="95"/>
                <w:sz w:val="16"/>
              </w:rPr>
              <w:t xml:space="preserve"> </w:t>
            </w:r>
            <w:r>
              <w:rPr>
                <w:w w:val="95"/>
                <w:sz w:val="16"/>
              </w:rPr>
              <w:t>attain</w:t>
            </w:r>
            <w:r>
              <w:rPr>
                <w:spacing w:val="3"/>
                <w:w w:val="95"/>
                <w:sz w:val="16"/>
              </w:rPr>
              <w:t xml:space="preserve"> </w:t>
            </w:r>
            <w:r>
              <w:rPr>
                <w:w w:val="95"/>
                <w:sz w:val="16"/>
              </w:rPr>
              <w:t>one</w:t>
            </w:r>
            <w:r>
              <w:rPr>
                <w:rFonts w:ascii="Lucida Sans Unicode" w:hAnsi="Lucida Sans Unicode"/>
                <w:w w:val="95"/>
                <w:sz w:val="16"/>
              </w:rPr>
              <w:t>’</w:t>
            </w:r>
            <w:r>
              <w:rPr>
                <w:w w:val="95"/>
                <w:sz w:val="16"/>
              </w:rPr>
              <w:t>s</w:t>
            </w:r>
            <w:r>
              <w:rPr>
                <w:spacing w:val="4"/>
                <w:w w:val="95"/>
                <w:sz w:val="16"/>
              </w:rPr>
              <w:t xml:space="preserve"> </w:t>
            </w:r>
            <w:r>
              <w:rPr>
                <w:w w:val="95"/>
                <w:sz w:val="16"/>
              </w:rPr>
              <w:t>goals</w:t>
            </w:r>
          </w:p>
        </w:tc>
        <w:tc>
          <w:tcPr>
            <w:tcW w:w="583" w:type="dxa"/>
          </w:tcPr>
          <w:p w14:paraId="442174C6" w14:textId="77777777" w:rsidR="00F65DFC" w:rsidRDefault="00F65DFC" w:rsidP="007A4637">
            <w:pPr>
              <w:pStyle w:val="TableParagraph"/>
              <w:spacing w:line="160" w:lineRule="exact"/>
              <w:ind w:left="163"/>
              <w:rPr>
                <w:sz w:val="16"/>
              </w:rPr>
            </w:pPr>
            <w:r>
              <w:rPr>
                <w:w w:val="95"/>
                <w:sz w:val="16"/>
              </w:rPr>
              <w:t>3.5</w:t>
            </w:r>
          </w:p>
        </w:tc>
        <w:tc>
          <w:tcPr>
            <w:tcW w:w="558" w:type="dxa"/>
          </w:tcPr>
          <w:p w14:paraId="52899DEE" w14:textId="77777777" w:rsidR="00F65DFC" w:rsidRDefault="00F65DFC" w:rsidP="007A4637">
            <w:pPr>
              <w:pStyle w:val="TableParagraph"/>
              <w:spacing w:line="160" w:lineRule="exact"/>
              <w:ind w:left="113"/>
              <w:rPr>
                <w:sz w:val="16"/>
              </w:rPr>
            </w:pPr>
            <w:r>
              <w:rPr>
                <w:w w:val="95"/>
                <w:sz w:val="16"/>
              </w:rPr>
              <w:t>0.743</w:t>
            </w:r>
          </w:p>
        </w:tc>
        <w:tc>
          <w:tcPr>
            <w:tcW w:w="1460" w:type="dxa"/>
          </w:tcPr>
          <w:p w14:paraId="047C90AD" w14:textId="77777777" w:rsidR="00F65DFC" w:rsidRDefault="00F65DFC" w:rsidP="007A4637">
            <w:pPr>
              <w:pStyle w:val="TableParagraph"/>
              <w:spacing w:line="160" w:lineRule="exact"/>
              <w:ind w:left="113" w:right="1"/>
              <w:jc w:val="center"/>
              <w:rPr>
                <w:sz w:val="16"/>
              </w:rPr>
            </w:pPr>
            <w:r>
              <w:rPr>
                <w:w w:val="95"/>
                <w:sz w:val="16"/>
              </w:rPr>
              <w:t>0.55</w:t>
            </w:r>
          </w:p>
        </w:tc>
        <w:tc>
          <w:tcPr>
            <w:tcW w:w="120" w:type="dxa"/>
          </w:tcPr>
          <w:p w14:paraId="39C6EED3" w14:textId="77777777" w:rsidR="00F65DFC" w:rsidRDefault="00F65DFC" w:rsidP="007A4637">
            <w:pPr>
              <w:pStyle w:val="TableParagraph"/>
              <w:rPr>
                <w:rFonts w:ascii="Times New Roman"/>
                <w:sz w:val="12"/>
              </w:rPr>
            </w:pPr>
          </w:p>
        </w:tc>
      </w:tr>
      <w:tr w:rsidR="00F65DFC" w14:paraId="5B9FB1C1" w14:textId="77777777" w:rsidTr="007A4637">
        <w:trPr>
          <w:trHeight w:val="182"/>
        </w:trPr>
        <w:tc>
          <w:tcPr>
            <w:tcW w:w="660" w:type="dxa"/>
          </w:tcPr>
          <w:p w14:paraId="1943812B" w14:textId="77777777" w:rsidR="00F65DFC" w:rsidRDefault="00F65DFC" w:rsidP="007A4637">
            <w:pPr>
              <w:pStyle w:val="TableParagraph"/>
              <w:spacing w:line="163" w:lineRule="exact"/>
              <w:rPr>
                <w:sz w:val="16"/>
              </w:rPr>
            </w:pPr>
            <w:r>
              <w:rPr>
                <w:w w:val="95"/>
                <w:sz w:val="16"/>
              </w:rPr>
              <w:t>25</w:t>
            </w:r>
          </w:p>
        </w:tc>
        <w:tc>
          <w:tcPr>
            <w:tcW w:w="3653" w:type="dxa"/>
          </w:tcPr>
          <w:p w14:paraId="4DBF1414" w14:textId="77777777" w:rsidR="00F65DFC" w:rsidRDefault="00F65DFC" w:rsidP="007A4637">
            <w:pPr>
              <w:pStyle w:val="TableParagraph"/>
              <w:spacing w:line="163" w:lineRule="exact"/>
              <w:ind w:left="114"/>
              <w:rPr>
                <w:sz w:val="16"/>
              </w:rPr>
            </w:pPr>
            <w:r>
              <w:rPr>
                <w:w w:val="95"/>
                <w:sz w:val="16"/>
              </w:rPr>
              <w:t>Pride</w:t>
            </w:r>
            <w:r>
              <w:rPr>
                <w:spacing w:val="3"/>
                <w:w w:val="95"/>
                <w:sz w:val="16"/>
              </w:rPr>
              <w:t xml:space="preserve"> </w:t>
            </w:r>
            <w:r>
              <w:rPr>
                <w:w w:val="95"/>
                <w:sz w:val="16"/>
              </w:rPr>
              <w:t>in</w:t>
            </w:r>
            <w:r>
              <w:rPr>
                <w:spacing w:val="4"/>
                <w:w w:val="95"/>
                <w:sz w:val="16"/>
              </w:rPr>
              <w:t xml:space="preserve"> </w:t>
            </w:r>
            <w:r>
              <w:rPr>
                <w:w w:val="95"/>
                <w:sz w:val="16"/>
              </w:rPr>
              <w:t>my</w:t>
            </w:r>
            <w:r>
              <w:rPr>
                <w:spacing w:val="3"/>
                <w:w w:val="95"/>
                <w:sz w:val="16"/>
              </w:rPr>
              <w:t xml:space="preserve"> </w:t>
            </w:r>
            <w:r>
              <w:rPr>
                <w:w w:val="95"/>
                <w:sz w:val="16"/>
              </w:rPr>
              <w:t>achievements</w:t>
            </w:r>
          </w:p>
        </w:tc>
        <w:tc>
          <w:tcPr>
            <w:tcW w:w="583" w:type="dxa"/>
          </w:tcPr>
          <w:p w14:paraId="36722BB7" w14:textId="77777777" w:rsidR="00F65DFC" w:rsidRDefault="00F65DFC" w:rsidP="007A4637">
            <w:pPr>
              <w:pStyle w:val="TableParagraph"/>
              <w:spacing w:line="163" w:lineRule="exact"/>
              <w:ind w:left="163"/>
              <w:rPr>
                <w:sz w:val="16"/>
              </w:rPr>
            </w:pPr>
            <w:r>
              <w:rPr>
                <w:w w:val="95"/>
                <w:sz w:val="16"/>
              </w:rPr>
              <w:t>3.64</w:t>
            </w:r>
          </w:p>
        </w:tc>
        <w:tc>
          <w:tcPr>
            <w:tcW w:w="558" w:type="dxa"/>
          </w:tcPr>
          <w:p w14:paraId="5503ED43" w14:textId="77777777" w:rsidR="00F65DFC" w:rsidRDefault="00F65DFC" w:rsidP="007A4637">
            <w:pPr>
              <w:pStyle w:val="TableParagraph"/>
              <w:spacing w:line="163" w:lineRule="exact"/>
              <w:ind w:left="113"/>
              <w:rPr>
                <w:sz w:val="16"/>
              </w:rPr>
            </w:pPr>
            <w:r>
              <w:rPr>
                <w:w w:val="95"/>
                <w:sz w:val="16"/>
              </w:rPr>
              <w:t>0.648</w:t>
            </w:r>
          </w:p>
        </w:tc>
        <w:tc>
          <w:tcPr>
            <w:tcW w:w="1460" w:type="dxa"/>
          </w:tcPr>
          <w:p w14:paraId="12B1FEC1" w14:textId="77777777" w:rsidR="00F65DFC" w:rsidRDefault="00F65DFC" w:rsidP="007A4637">
            <w:pPr>
              <w:pStyle w:val="TableParagraph"/>
              <w:spacing w:line="163" w:lineRule="exact"/>
              <w:ind w:left="113" w:right="1"/>
              <w:jc w:val="center"/>
              <w:rPr>
                <w:sz w:val="16"/>
              </w:rPr>
            </w:pPr>
            <w:r>
              <w:rPr>
                <w:w w:val="95"/>
                <w:sz w:val="16"/>
              </w:rPr>
              <w:t>0.60</w:t>
            </w:r>
          </w:p>
        </w:tc>
        <w:tc>
          <w:tcPr>
            <w:tcW w:w="120" w:type="dxa"/>
          </w:tcPr>
          <w:p w14:paraId="5186FCAB" w14:textId="77777777" w:rsidR="00F65DFC" w:rsidRDefault="00F65DFC" w:rsidP="007A4637">
            <w:pPr>
              <w:pStyle w:val="TableParagraph"/>
              <w:rPr>
                <w:rFonts w:ascii="Times New Roman"/>
                <w:sz w:val="12"/>
              </w:rPr>
            </w:pPr>
          </w:p>
        </w:tc>
      </w:tr>
    </w:tbl>
    <w:p w14:paraId="51B75C76" w14:textId="77777777" w:rsidR="00FF4E80" w:rsidRDefault="00FF4E80" w:rsidP="0090305A">
      <w:pPr>
        <w:pStyle w:val="Normal1"/>
        <w:spacing w:after="0" w:line="480" w:lineRule="auto"/>
        <w:contextualSpacing/>
        <w:rPr>
          <w:rFonts w:ascii="Times New Roman" w:hAnsi="Times New Roman" w:cs="Times New Roman"/>
          <w:color w:val="000000" w:themeColor="text1"/>
          <w:sz w:val="24"/>
          <w:szCs w:val="24"/>
        </w:rPr>
      </w:pPr>
    </w:p>
    <w:p w14:paraId="4D4059C7" w14:textId="30944C54" w:rsidR="00F65DFC" w:rsidRPr="0090305A" w:rsidRDefault="00F65DFC" w:rsidP="00F65DFC">
      <w:pPr>
        <w:pStyle w:val="Normal1"/>
        <w:spacing w:line="480" w:lineRule="auto"/>
        <w:contextualSpacing/>
        <w:rPr>
          <w:rFonts w:ascii="Times New Roman" w:hAnsi="Times New Roman" w:cs="Times New Roman"/>
          <w:color w:val="000000" w:themeColor="text1"/>
          <w:sz w:val="24"/>
          <w:szCs w:val="24"/>
        </w:rPr>
      </w:pPr>
      <w:r w:rsidRPr="00F65DFC">
        <w:rPr>
          <w:rFonts w:ascii="Times New Roman" w:hAnsi="Times New Roman" w:cs="Times New Roman"/>
          <w:color w:val="000000" w:themeColor="text1"/>
          <w:sz w:val="24"/>
          <w:szCs w:val="24"/>
        </w:rPr>
        <w:t>Table II.</w:t>
      </w:r>
      <w:r>
        <w:rPr>
          <w:rFonts w:ascii="Times New Roman" w:hAnsi="Times New Roman" w:cs="Times New Roman"/>
          <w:color w:val="000000" w:themeColor="text1"/>
          <w:sz w:val="24"/>
          <w:szCs w:val="24"/>
        </w:rPr>
        <w:t xml:space="preserve"> </w:t>
      </w:r>
      <w:r w:rsidRPr="00F65DFC">
        <w:rPr>
          <w:rFonts w:ascii="Times New Roman" w:hAnsi="Times New Roman" w:cs="Times New Roman"/>
          <w:color w:val="000000" w:themeColor="text1"/>
          <w:sz w:val="24"/>
          <w:szCs w:val="24"/>
        </w:rPr>
        <w:t>Descriptive statistics</w:t>
      </w:r>
      <w:r>
        <w:rPr>
          <w:rFonts w:ascii="Times New Roman" w:hAnsi="Times New Roman" w:cs="Times New Roman"/>
          <w:color w:val="000000" w:themeColor="text1"/>
          <w:sz w:val="24"/>
          <w:szCs w:val="24"/>
        </w:rPr>
        <w:t xml:space="preserve"> </w:t>
      </w:r>
      <w:r w:rsidRPr="00F65DFC">
        <w:rPr>
          <w:rFonts w:ascii="Times New Roman" w:hAnsi="Times New Roman" w:cs="Times New Roman"/>
          <w:color w:val="000000" w:themeColor="text1"/>
          <w:sz w:val="24"/>
          <w:szCs w:val="24"/>
        </w:rPr>
        <w:t>deviations (SD)] and</w:t>
      </w:r>
      <w:r>
        <w:rPr>
          <w:rFonts w:ascii="Times New Roman" w:hAnsi="Times New Roman" w:cs="Times New Roman"/>
          <w:color w:val="000000" w:themeColor="text1"/>
          <w:sz w:val="24"/>
          <w:szCs w:val="24"/>
        </w:rPr>
        <w:t xml:space="preserve"> i</w:t>
      </w:r>
      <w:r w:rsidRPr="00F65DFC">
        <w:rPr>
          <w:rFonts w:ascii="Times New Roman" w:hAnsi="Times New Roman" w:cs="Times New Roman"/>
          <w:color w:val="000000" w:themeColor="text1"/>
          <w:sz w:val="24"/>
          <w:szCs w:val="24"/>
        </w:rPr>
        <w:t>tem-total correlation</w:t>
      </w:r>
      <w:r>
        <w:rPr>
          <w:rFonts w:ascii="Times New Roman" w:hAnsi="Times New Roman" w:cs="Times New Roman"/>
          <w:color w:val="000000" w:themeColor="text1"/>
          <w:sz w:val="24"/>
          <w:szCs w:val="24"/>
        </w:rPr>
        <w:t xml:space="preserve"> </w:t>
      </w:r>
      <w:r w:rsidRPr="00F65DFC">
        <w:rPr>
          <w:rFonts w:ascii="Times New Roman" w:hAnsi="Times New Roman" w:cs="Times New Roman"/>
          <w:color w:val="000000" w:themeColor="text1"/>
          <w:sz w:val="24"/>
          <w:szCs w:val="24"/>
        </w:rPr>
        <w:t>for the CD- RISC</w:t>
      </w:r>
      <w:r>
        <w:rPr>
          <w:rFonts w:ascii="Times New Roman" w:hAnsi="Times New Roman" w:cs="Times New Roman"/>
          <w:color w:val="000000" w:themeColor="text1"/>
          <w:sz w:val="24"/>
          <w:szCs w:val="24"/>
        </w:rPr>
        <w:t xml:space="preserve"> </w:t>
      </w:r>
      <w:r w:rsidRPr="00F65DFC">
        <w:rPr>
          <w:rFonts w:ascii="Times New Roman" w:hAnsi="Times New Roman" w:cs="Times New Roman"/>
          <w:color w:val="000000" w:themeColor="text1"/>
          <w:sz w:val="24"/>
          <w:szCs w:val="24"/>
        </w:rPr>
        <w:t>items in the</w:t>
      </w:r>
      <w:r>
        <w:rPr>
          <w:rFonts w:ascii="Times New Roman" w:hAnsi="Times New Roman" w:cs="Times New Roman"/>
          <w:color w:val="000000" w:themeColor="text1"/>
          <w:sz w:val="24"/>
          <w:szCs w:val="24"/>
        </w:rPr>
        <w:t xml:space="preserve"> current study</w:t>
      </w:r>
    </w:p>
    <w:p w14:paraId="235E39A5" w14:textId="697EA328" w:rsidR="00DC5FF2" w:rsidRPr="0090305A" w:rsidRDefault="00DB0088" w:rsidP="0090305A">
      <w:pPr>
        <w:pStyle w:val="Normal1"/>
        <w:spacing w:after="0" w:line="480" w:lineRule="auto"/>
        <w:contextualSpacing/>
        <w:outlineLvl w:val="0"/>
        <w:rPr>
          <w:rFonts w:ascii="Times New Roman" w:hAnsi="Times New Roman" w:cs="Times New Roman"/>
          <w:b/>
          <w:color w:val="000000" w:themeColor="text1"/>
          <w:sz w:val="24"/>
          <w:szCs w:val="24"/>
        </w:rPr>
      </w:pPr>
      <w:r w:rsidRPr="0090305A">
        <w:rPr>
          <w:rFonts w:ascii="Times New Roman" w:hAnsi="Times New Roman" w:cs="Times New Roman"/>
          <w:b/>
          <w:color w:val="000000" w:themeColor="text1"/>
          <w:sz w:val="24"/>
          <w:szCs w:val="24"/>
        </w:rPr>
        <w:t xml:space="preserve">Effects of </w:t>
      </w:r>
      <w:r w:rsidR="00F54278" w:rsidRPr="0090305A">
        <w:rPr>
          <w:rFonts w:ascii="Times New Roman" w:hAnsi="Times New Roman" w:cs="Times New Roman"/>
          <w:b/>
          <w:color w:val="000000" w:themeColor="text1"/>
          <w:sz w:val="24"/>
          <w:szCs w:val="24"/>
        </w:rPr>
        <w:t>socio</w:t>
      </w:r>
      <w:r w:rsidRPr="0090305A">
        <w:rPr>
          <w:rFonts w:ascii="Times New Roman" w:hAnsi="Times New Roman" w:cs="Times New Roman"/>
          <w:b/>
          <w:color w:val="000000" w:themeColor="text1"/>
          <w:sz w:val="24"/>
          <w:szCs w:val="24"/>
        </w:rPr>
        <w:t xml:space="preserve">demographic and work-related variables on </w:t>
      </w:r>
      <w:r w:rsidR="00FE05DB" w:rsidRPr="0090305A">
        <w:rPr>
          <w:rFonts w:ascii="Times New Roman" w:hAnsi="Times New Roman" w:cs="Times New Roman"/>
          <w:b/>
          <w:color w:val="000000" w:themeColor="text1"/>
          <w:sz w:val="24"/>
          <w:szCs w:val="24"/>
        </w:rPr>
        <w:t>resilience</w:t>
      </w:r>
    </w:p>
    <w:p w14:paraId="06FBE48C" w14:textId="17A466E6" w:rsidR="00DC5FF2" w:rsidRPr="0090305A" w:rsidRDefault="00D50E7A" w:rsidP="0090305A">
      <w:pPr>
        <w:pStyle w:val="Normal1"/>
        <w:spacing w:after="0" w:line="480" w:lineRule="auto"/>
        <w:contextualSpacing/>
        <w:rPr>
          <w:rFonts w:ascii="Times New Roman" w:hAnsi="Times New Roman" w:cs="Times New Roman"/>
          <w:color w:val="000000" w:themeColor="text1"/>
          <w:sz w:val="24"/>
          <w:szCs w:val="24"/>
        </w:rPr>
      </w:pPr>
      <w:r w:rsidRPr="0090305A">
        <w:rPr>
          <w:rFonts w:ascii="Times New Roman" w:hAnsi="Times New Roman" w:cs="Times New Roman"/>
          <w:color w:val="000000" w:themeColor="text1"/>
          <w:sz w:val="24"/>
          <w:szCs w:val="24"/>
        </w:rPr>
        <w:t>Table 3 shows resilience scores according to sociodemographic and work-related variables</w:t>
      </w:r>
      <w:r w:rsidR="00423024" w:rsidRPr="0090305A">
        <w:rPr>
          <w:rFonts w:ascii="Times New Roman" w:hAnsi="Times New Roman" w:cs="Times New Roman"/>
          <w:color w:val="000000" w:themeColor="text1"/>
          <w:sz w:val="24"/>
          <w:szCs w:val="24"/>
        </w:rPr>
        <w:t xml:space="preserve">. </w:t>
      </w:r>
      <w:r w:rsidR="007E1CE7" w:rsidRPr="0090305A">
        <w:rPr>
          <w:rFonts w:ascii="Times New Roman" w:hAnsi="Times New Roman" w:cs="Times New Roman"/>
          <w:color w:val="000000" w:themeColor="text1"/>
          <w:sz w:val="24"/>
          <w:szCs w:val="24"/>
        </w:rPr>
        <w:t>The mean total score on the CD-RISC in our sample was 77.</w:t>
      </w:r>
      <w:r w:rsidR="00087E7E" w:rsidRPr="0090305A">
        <w:rPr>
          <w:rFonts w:ascii="Times New Roman" w:hAnsi="Times New Roman" w:cs="Times New Roman"/>
          <w:color w:val="000000" w:themeColor="text1"/>
          <w:sz w:val="24"/>
          <w:szCs w:val="24"/>
        </w:rPr>
        <w:t>11</w:t>
      </w:r>
      <w:r w:rsidR="007E1CE7" w:rsidRPr="0090305A">
        <w:rPr>
          <w:rFonts w:ascii="Times New Roman" w:hAnsi="Times New Roman" w:cs="Times New Roman"/>
          <w:color w:val="000000" w:themeColor="text1"/>
          <w:sz w:val="24"/>
          <w:szCs w:val="24"/>
        </w:rPr>
        <w:t xml:space="preserve"> (</w:t>
      </w:r>
      <w:r w:rsidR="00375240" w:rsidRPr="0090305A">
        <w:rPr>
          <w:rFonts w:ascii="Times New Roman" w:hAnsi="Times New Roman" w:cs="Times New Roman"/>
          <w:i/>
          <w:color w:val="000000" w:themeColor="text1"/>
          <w:sz w:val="24"/>
          <w:szCs w:val="24"/>
        </w:rPr>
        <w:t>SD</w:t>
      </w:r>
      <w:r w:rsidR="007E1CE7" w:rsidRPr="0090305A">
        <w:rPr>
          <w:rFonts w:ascii="Times New Roman" w:hAnsi="Times New Roman" w:cs="Times New Roman"/>
          <w:color w:val="000000" w:themeColor="text1"/>
          <w:sz w:val="24"/>
          <w:szCs w:val="24"/>
        </w:rPr>
        <w:t xml:space="preserve"> =22.</w:t>
      </w:r>
      <w:r w:rsidR="00087E7E" w:rsidRPr="0090305A">
        <w:rPr>
          <w:rFonts w:ascii="Times New Roman" w:hAnsi="Times New Roman" w:cs="Times New Roman"/>
          <w:color w:val="000000" w:themeColor="text1"/>
          <w:sz w:val="24"/>
          <w:szCs w:val="24"/>
        </w:rPr>
        <w:t>28</w:t>
      </w:r>
      <w:r w:rsidR="007E1CE7" w:rsidRPr="0090305A">
        <w:rPr>
          <w:rFonts w:ascii="Times New Roman" w:hAnsi="Times New Roman" w:cs="Times New Roman"/>
          <w:color w:val="000000" w:themeColor="text1"/>
          <w:sz w:val="24"/>
          <w:szCs w:val="24"/>
        </w:rPr>
        <w:t>).</w:t>
      </w:r>
      <w:r w:rsidR="00FE05DB" w:rsidRPr="0090305A">
        <w:rPr>
          <w:rFonts w:ascii="Times New Roman" w:hAnsi="Times New Roman" w:cs="Times New Roman"/>
          <w:color w:val="000000" w:themeColor="text1"/>
          <w:sz w:val="24"/>
          <w:szCs w:val="24"/>
        </w:rPr>
        <w:t xml:space="preserve"> </w:t>
      </w:r>
      <w:r w:rsidRPr="0090305A">
        <w:rPr>
          <w:rFonts w:ascii="Times New Roman" w:hAnsi="Times New Roman" w:cs="Times New Roman"/>
          <w:color w:val="000000" w:themeColor="text1"/>
          <w:sz w:val="24"/>
          <w:szCs w:val="24"/>
        </w:rPr>
        <w:t>A</w:t>
      </w:r>
      <w:r w:rsidR="004B37CC" w:rsidRPr="0090305A">
        <w:rPr>
          <w:rFonts w:ascii="Times New Roman" w:hAnsi="Times New Roman" w:cs="Times New Roman"/>
          <w:color w:val="000000" w:themeColor="text1"/>
          <w:sz w:val="24"/>
          <w:szCs w:val="24"/>
        </w:rPr>
        <w:t>ge, position, job experience</w:t>
      </w:r>
      <w:r w:rsidR="009B2856" w:rsidRPr="0090305A">
        <w:rPr>
          <w:rFonts w:ascii="Times New Roman" w:hAnsi="Times New Roman" w:cs="Times New Roman"/>
          <w:color w:val="000000" w:themeColor="text1"/>
          <w:sz w:val="24"/>
          <w:szCs w:val="24"/>
        </w:rPr>
        <w:t>, type of organization,</w:t>
      </w:r>
      <w:r w:rsidR="004B37CC" w:rsidRPr="0090305A">
        <w:rPr>
          <w:rFonts w:ascii="Times New Roman" w:hAnsi="Times New Roman" w:cs="Times New Roman"/>
          <w:color w:val="000000" w:themeColor="text1"/>
          <w:sz w:val="24"/>
          <w:szCs w:val="24"/>
        </w:rPr>
        <w:t xml:space="preserve"> and </w:t>
      </w:r>
      <w:r w:rsidR="000C1D8E" w:rsidRPr="0090305A">
        <w:rPr>
          <w:rFonts w:ascii="Times New Roman" w:hAnsi="Times New Roman" w:cs="Times New Roman"/>
          <w:color w:val="000000" w:themeColor="text1"/>
          <w:sz w:val="24"/>
          <w:szCs w:val="24"/>
        </w:rPr>
        <w:t>social media skills</w:t>
      </w:r>
      <w:r w:rsidRPr="0090305A">
        <w:rPr>
          <w:rFonts w:ascii="Times New Roman" w:hAnsi="Times New Roman" w:cs="Times New Roman"/>
          <w:color w:val="000000" w:themeColor="text1"/>
          <w:sz w:val="24"/>
          <w:szCs w:val="24"/>
        </w:rPr>
        <w:t xml:space="preserve"> </w:t>
      </w:r>
      <w:r w:rsidR="009B2856" w:rsidRPr="0090305A">
        <w:rPr>
          <w:rFonts w:ascii="Times New Roman" w:hAnsi="Times New Roman" w:cs="Times New Roman"/>
          <w:color w:val="000000" w:themeColor="text1"/>
          <w:sz w:val="24"/>
          <w:szCs w:val="24"/>
        </w:rPr>
        <w:t>presented</w:t>
      </w:r>
      <w:r w:rsidRPr="0090305A">
        <w:rPr>
          <w:rFonts w:ascii="Times New Roman" w:hAnsi="Times New Roman" w:cs="Times New Roman"/>
          <w:color w:val="000000" w:themeColor="text1"/>
          <w:sz w:val="24"/>
          <w:szCs w:val="24"/>
        </w:rPr>
        <w:t xml:space="preserve"> statistically significant differences</w:t>
      </w:r>
      <w:r w:rsidR="0014395A" w:rsidRPr="0090305A">
        <w:rPr>
          <w:rFonts w:ascii="Times New Roman" w:hAnsi="Times New Roman" w:cs="Times New Roman"/>
          <w:color w:val="000000" w:themeColor="text1"/>
          <w:sz w:val="24"/>
          <w:szCs w:val="24"/>
        </w:rPr>
        <w:t xml:space="preserve"> in the level of resilience</w:t>
      </w:r>
      <w:r w:rsidR="004B37CC" w:rsidRPr="0090305A">
        <w:rPr>
          <w:rFonts w:ascii="Times New Roman" w:hAnsi="Times New Roman" w:cs="Times New Roman"/>
          <w:color w:val="000000" w:themeColor="text1"/>
          <w:sz w:val="24"/>
          <w:szCs w:val="24"/>
        </w:rPr>
        <w:t>.</w:t>
      </w:r>
      <w:r w:rsidR="006208DE" w:rsidRPr="0090305A">
        <w:rPr>
          <w:rFonts w:ascii="Times New Roman" w:hAnsi="Times New Roman" w:cs="Times New Roman"/>
          <w:color w:val="000000" w:themeColor="text1"/>
          <w:sz w:val="24"/>
          <w:szCs w:val="24"/>
        </w:rPr>
        <w:t xml:space="preserve"> </w:t>
      </w:r>
      <w:r w:rsidR="0014395A" w:rsidRPr="0090305A">
        <w:rPr>
          <w:rFonts w:ascii="Times New Roman" w:hAnsi="Times New Roman" w:cs="Times New Roman"/>
          <w:color w:val="000000" w:themeColor="text1"/>
          <w:sz w:val="24"/>
          <w:szCs w:val="24"/>
        </w:rPr>
        <w:t xml:space="preserve">Professionals </w:t>
      </w:r>
      <w:r w:rsidR="003B02CF" w:rsidRPr="0090305A">
        <w:rPr>
          <w:rFonts w:ascii="Times New Roman" w:hAnsi="Times New Roman" w:cs="Times New Roman"/>
          <w:color w:val="000000" w:themeColor="text1"/>
          <w:sz w:val="24"/>
          <w:szCs w:val="24"/>
        </w:rPr>
        <w:t>who were</w:t>
      </w:r>
      <w:r w:rsidR="0014395A" w:rsidRPr="0090305A">
        <w:rPr>
          <w:rFonts w:ascii="Times New Roman" w:hAnsi="Times New Roman" w:cs="Times New Roman"/>
          <w:color w:val="000000" w:themeColor="text1"/>
          <w:sz w:val="24"/>
          <w:szCs w:val="24"/>
        </w:rPr>
        <w:t xml:space="preserve"> 30 years old</w:t>
      </w:r>
      <w:r w:rsidR="00EB1C71" w:rsidRPr="0090305A">
        <w:rPr>
          <w:rFonts w:ascii="Times New Roman" w:hAnsi="Times New Roman" w:cs="Times New Roman"/>
          <w:color w:val="000000" w:themeColor="text1"/>
          <w:sz w:val="24"/>
          <w:szCs w:val="24"/>
        </w:rPr>
        <w:t xml:space="preserve"> or younger</w:t>
      </w:r>
      <w:r w:rsidR="0014395A" w:rsidRPr="0090305A">
        <w:rPr>
          <w:rFonts w:ascii="Times New Roman" w:hAnsi="Times New Roman" w:cs="Times New Roman"/>
          <w:color w:val="000000" w:themeColor="text1"/>
          <w:sz w:val="24"/>
          <w:szCs w:val="24"/>
        </w:rPr>
        <w:t xml:space="preserve"> reported </w:t>
      </w:r>
      <w:r w:rsidR="00414940" w:rsidRPr="0090305A">
        <w:rPr>
          <w:rFonts w:ascii="Times New Roman" w:hAnsi="Times New Roman" w:cs="Times New Roman"/>
          <w:color w:val="000000" w:themeColor="text1"/>
          <w:sz w:val="24"/>
          <w:szCs w:val="24"/>
        </w:rPr>
        <w:t xml:space="preserve">a </w:t>
      </w:r>
      <w:r w:rsidR="00041F83" w:rsidRPr="0090305A">
        <w:rPr>
          <w:rFonts w:ascii="Times New Roman" w:hAnsi="Times New Roman" w:cs="Times New Roman"/>
          <w:color w:val="000000" w:themeColor="text1"/>
          <w:sz w:val="24"/>
          <w:szCs w:val="24"/>
        </w:rPr>
        <w:t>lower</w:t>
      </w:r>
      <w:r w:rsidR="00414940" w:rsidRPr="0090305A">
        <w:rPr>
          <w:rFonts w:ascii="Times New Roman" w:hAnsi="Times New Roman" w:cs="Times New Roman"/>
          <w:color w:val="000000" w:themeColor="text1"/>
          <w:sz w:val="24"/>
          <w:szCs w:val="24"/>
        </w:rPr>
        <w:t xml:space="preserve"> level</w:t>
      </w:r>
      <w:r w:rsidR="00A76060" w:rsidRPr="0090305A">
        <w:rPr>
          <w:rFonts w:ascii="Times New Roman" w:hAnsi="Times New Roman" w:cs="Times New Roman"/>
          <w:color w:val="000000" w:themeColor="text1"/>
          <w:sz w:val="24"/>
          <w:szCs w:val="24"/>
        </w:rPr>
        <w:t xml:space="preserve"> of resilience </w:t>
      </w:r>
      <w:r w:rsidR="008E20AD" w:rsidRPr="0090305A">
        <w:rPr>
          <w:rFonts w:ascii="Times New Roman" w:hAnsi="Times New Roman" w:cs="Times New Roman"/>
          <w:color w:val="000000" w:themeColor="text1"/>
          <w:sz w:val="24"/>
          <w:szCs w:val="24"/>
        </w:rPr>
        <w:t>(</w:t>
      </w:r>
      <w:r w:rsidR="008E20AD" w:rsidRPr="0090305A">
        <w:rPr>
          <w:rFonts w:ascii="Times New Roman" w:hAnsi="Times New Roman" w:cs="Times New Roman"/>
          <w:i/>
          <w:color w:val="000000" w:themeColor="text1"/>
          <w:sz w:val="24"/>
          <w:szCs w:val="24"/>
        </w:rPr>
        <w:t>p</w:t>
      </w:r>
      <w:r w:rsidR="008E20AD" w:rsidRPr="0090305A">
        <w:rPr>
          <w:rFonts w:ascii="Times New Roman" w:hAnsi="Times New Roman" w:cs="Times New Roman"/>
          <w:color w:val="000000" w:themeColor="text1"/>
          <w:sz w:val="24"/>
          <w:szCs w:val="24"/>
        </w:rPr>
        <w:t xml:space="preserve"> ≤</w:t>
      </w:r>
      <w:r w:rsidR="007B37CC" w:rsidRPr="0090305A">
        <w:rPr>
          <w:rFonts w:ascii="Times New Roman" w:hAnsi="Times New Roman" w:cs="Times New Roman"/>
          <w:color w:val="000000" w:themeColor="text1"/>
          <w:sz w:val="24"/>
          <w:szCs w:val="24"/>
        </w:rPr>
        <w:t>0</w:t>
      </w:r>
      <w:r w:rsidR="008E20AD" w:rsidRPr="0090305A">
        <w:rPr>
          <w:rFonts w:ascii="Times New Roman" w:hAnsi="Times New Roman" w:cs="Times New Roman"/>
          <w:color w:val="000000" w:themeColor="text1"/>
          <w:sz w:val="24"/>
          <w:szCs w:val="24"/>
        </w:rPr>
        <w:t xml:space="preserve">.001, </w:t>
      </w:r>
      <w:r w:rsidR="008E20AD" w:rsidRPr="0090305A">
        <w:rPr>
          <w:rFonts w:ascii="Times New Roman" w:hAnsi="Times New Roman" w:cs="Times New Roman"/>
          <w:i/>
          <w:color w:val="000000" w:themeColor="text1"/>
          <w:sz w:val="24"/>
          <w:szCs w:val="24"/>
        </w:rPr>
        <w:t>t</w:t>
      </w:r>
      <w:r w:rsidR="008E20AD" w:rsidRPr="0090305A">
        <w:rPr>
          <w:rFonts w:ascii="Times New Roman" w:hAnsi="Times New Roman" w:cs="Times New Roman"/>
          <w:color w:val="000000" w:themeColor="text1"/>
          <w:sz w:val="24"/>
          <w:szCs w:val="24"/>
        </w:rPr>
        <w:t xml:space="preserve"> (898) = 1.542). The mean resilience score for </w:t>
      </w:r>
      <w:r w:rsidR="00355BFB" w:rsidRPr="0090305A">
        <w:rPr>
          <w:rFonts w:ascii="Times New Roman" w:hAnsi="Times New Roman" w:cs="Times New Roman"/>
          <w:color w:val="000000" w:themeColor="text1"/>
          <w:sz w:val="24"/>
          <w:szCs w:val="24"/>
        </w:rPr>
        <w:t>practitioners</w:t>
      </w:r>
      <w:r w:rsidR="008E20AD" w:rsidRPr="0090305A">
        <w:rPr>
          <w:rFonts w:ascii="Times New Roman" w:hAnsi="Times New Roman" w:cs="Times New Roman"/>
          <w:color w:val="000000" w:themeColor="text1"/>
          <w:sz w:val="24"/>
          <w:szCs w:val="24"/>
        </w:rPr>
        <w:t xml:space="preserve"> </w:t>
      </w:r>
      <w:r w:rsidR="00355BFB" w:rsidRPr="0090305A">
        <w:rPr>
          <w:rFonts w:ascii="Times New Roman" w:hAnsi="Times New Roman" w:cs="Times New Roman"/>
          <w:color w:val="000000" w:themeColor="text1"/>
          <w:sz w:val="24"/>
          <w:szCs w:val="24"/>
        </w:rPr>
        <w:t>in a position of power</w:t>
      </w:r>
      <w:r w:rsidR="008E20AD" w:rsidRPr="0090305A">
        <w:rPr>
          <w:rFonts w:ascii="Times New Roman" w:hAnsi="Times New Roman" w:cs="Times New Roman"/>
          <w:color w:val="000000" w:themeColor="text1"/>
          <w:sz w:val="24"/>
          <w:szCs w:val="24"/>
        </w:rPr>
        <w:t xml:space="preserve"> was </w:t>
      </w:r>
      <w:r w:rsidR="00355BFB" w:rsidRPr="0090305A">
        <w:rPr>
          <w:rFonts w:ascii="Times New Roman" w:hAnsi="Times New Roman" w:cs="Times New Roman"/>
          <w:color w:val="000000" w:themeColor="text1"/>
          <w:sz w:val="24"/>
          <w:szCs w:val="24"/>
        </w:rPr>
        <w:t>78.47</w:t>
      </w:r>
      <w:r w:rsidR="007B37CC" w:rsidRPr="0090305A">
        <w:rPr>
          <w:rFonts w:ascii="Times New Roman" w:hAnsi="Times New Roman" w:cs="Times New Roman"/>
          <w:color w:val="000000" w:themeColor="text1"/>
          <w:sz w:val="24"/>
          <w:szCs w:val="24"/>
        </w:rPr>
        <w:t>,</w:t>
      </w:r>
      <w:r w:rsidR="008E20AD" w:rsidRPr="0090305A">
        <w:rPr>
          <w:rFonts w:ascii="Times New Roman" w:hAnsi="Times New Roman" w:cs="Times New Roman"/>
          <w:color w:val="000000" w:themeColor="text1"/>
          <w:sz w:val="24"/>
          <w:szCs w:val="24"/>
        </w:rPr>
        <w:t xml:space="preserve"> which</w:t>
      </w:r>
      <w:r w:rsidR="00A7272F" w:rsidRPr="0090305A">
        <w:rPr>
          <w:rFonts w:ascii="Times New Roman" w:hAnsi="Times New Roman" w:cs="Times New Roman"/>
          <w:color w:val="000000" w:themeColor="text1"/>
          <w:sz w:val="24"/>
          <w:szCs w:val="24"/>
        </w:rPr>
        <w:t xml:space="preserve"> </w:t>
      </w:r>
      <w:r w:rsidR="00355BFB" w:rsidRPr="0090305A">
        <w:rPr>
          <w:rFonts w:ascii="Times New Roman" w:hAnsi="Times New Roman" w:cs="Times New Roman"/>
          <w:color w:val="000000" w:themeColor="text1"/>
          <w:sz w:val="24"/>
          <w:szCs w:val="24"/>
        </w:rPr>
        <w:t>was</w:t>
      </w:r>
      <w:r w:rsidR="00BC34D7" w:rsidRPr="0090305A">
        <w:rPr>
          <w:rFonts w:ascii="Times New Roman" w:hAnsi="Times New Roman" w:cs="Times New Roman"/>
          <w:color w:val="000000" w:themeColor="text1"/>
          <w:sz w:val="24"/>
          <w:szCs w:val="24"/>
        </w:rPr>
        <w:t xml:space="preserve"> significantly</w:t>
      </w:r>
      <w:r w:rsidR="00355BFB" w:rsidRPr="0090305A">
        <w:rPr>
          <w:rFonts w:ascii="Times New Roman" w:hAnsi="Times New Roman" w:cs="Times New Roman"/>
          <w:color w:val="000000" w:themeColor="text1"/>
          <w:sz w:val="24"/>
          <w:szCs w:val="24"/>
        </w:rPr>
        <w:t xml:space="preserve"> higher than the score for those working as a team members or </w:t>
      </w:r>
      <w:r w:rsidR="00BC34D7" w:rsidRPr="0090305A">
        <w:rPr>
          <w:rFonts w:ascii="Times New Roman" w:hAnsi="Times New Roman" w:cs="Times New Roman"/>
          <w:color w:val="000000" w:themeColor="text1"/>
          <w:sz w:val="24"/>
          <w:szCs w:val="24"/>
        </w:rPr>
        <w:t>consultants</w:t>
      </w:r>
      <w:r w:rsidR="00355BFB" w:rsidRPr="0090305A">
        <w:rPr>
          <w:rFonts w:ascii="Times New Roman" w:hAnsi="Times New Roman" w:cs="Times New Roman"/>
          <w:color w:val="000000" w:themeColor="text1"/>
          <w:sz w:val="24"/>
          <w:szCs w:val="24"/>
        </w:rPr>
        <w:t xml:space="preserve"> </w:t>
      </w:r>
      <w:r w:rsidR="007B37CC" w:rsidRPr="0090305A">
        <w:rPr>
          <w:rFonts w:ascii="Times New Roman" w:hAnsi="Times New Roman" w:cs="Times New Roman"/>
          <w:color w:val="000000" w:themeColor="text1"/>
          <w:sz w:val="24"/>
          <w:szCs w:val="24"/>
        </w:rPr>
        <w:t>(</w:t>
      </w:r>
      <w:r w:rsidR="007B37CC" w:rsidRPr="0090305A">
        <w:rPr>
          <w:rFonts w:ascii="Times New Roman" w:hAnsi="Times New Roman" w:cs="Times New Roman"/>
          <w:i/>
          <w:color w:val="000000" w:themeColor="text1"/>
          <w:sz w:val="24"/>
          <w:szCs w:val="24"/>
        </w:rPr>
        <w:t>p</w:t>
      </w:r>
      <w:r w:rsidR="007B37CC" w:rsidRPr="0090305A">
        <w:rPr>
          <w:rFonts w:ascii="Times New Roman" w:hAnsi="Times New Roman" w:cs="Times New Roman"/>
          <w:color w:val="000000" w:themeColor="text1"/>
          <w:sz w:val="24"/>
          <w:szCs w:val="24"/>
        </w:rPr>
        <w:t xml:space="preserve"> ≤0.05, t (898) = 1.317).</w:t>
      </w:r>
      <w:r w:rsidR="00DE64C2" w:rsidRPr="0090305A">
        <w:rPr>
          <w:rFonts w:ascii="Times New Roman" w:hAnsi="Times New Roman" w:cs="Times New Roman"/>
          <w:color w:val="000000" w:themeColor="text1"/>
          <w:sz w:val="24"/>
          <w:szCs w:val="24"/>
        </w:rPr>
        <w:t xml:space="preserve"> Participants with </w:t>
      </w:r>
      <w:r w:rsidR="005B30BA" w:rsidRPr="0090305A">
        <w:rPr>
          <w:rFonts w:ascii="Times New Roman" w:hAnsi="Times New Roman" w:cs="Times New Roman"/>
          <w:color w:val="000000" w:themeColor="text1"/>
          <w:sz w:val="24"/>
          <w:szCs w:val="24"/>
        </w:rPr>
        <w:t>more</w:t>
      </w:r>
      <w:r w:rsidR="00DE64C2" w:rsidRPr="0090305A">
        <w:rPr>
          <w:rFonts w:ascii="Times New Roman" w:hAnsi="Times New Roman" w:cs="Times New Roman"/>
          <w:color w:val="000000" w:themeColor="text1"/>
          <w:sz w:val="24"/>
          <w:szCs w:val="24"/>
        </w:rPr>
        <w:t xml:space="preserve"> seniority </w:t>
      </w:r>
      <w:r w:rsidR="00AB05D0" w:rsidRPr="0090305A">
        <w:rPr>
          <w:rFonts w:ascii="Times New Roman" w:hAnsi="Times New Roman" w:cs="Times New Roman"/>
          <w:color w:val="000000" w:themeColor="text1"/>
          <w:sz w:val="24"/>
          <w:szCs w:val="24"/>
        </w:rPr>
        <w:t>have</w:t>
      </w:r>
      <w:r w:rsidR="005B30BA" w:rsidRPr="0090305A">
        <w:rPr>
          <w:rFonts w:ascii="Times New Roman" w:hAnsi="Times New Roman" w:cs="Times New Roman"/>
          <w:color w:val="000000" w:themeColor="text1"/>
          <w:sz w:val="24"/>
          <w:szCs w:val="24"/>
        </w:rPr>
        <w:t xml:space="preserve"> higher level of resilience than those </w:t>
      </w:r>
      <w:r w:rsidR="00612DA0" w:rsidRPr="0090305A">
        <w:rPr>
          <w:rFonts w:ascii="Times New Roman" w:hAnsi="Times New Roman" w:cs="Times New Roman"/>
          <w:color w:val="000000" w:themeColor="text1"/>
          <w:sz w:val="24"/>
          <w:szCs w:val="24"/>
        </w:rPr>
        <w:t>with less job experience (</w:t>
      </w:r>
      <w:r w:rsidR="00612DA0" w:rsidRPr="0090305A">
        <w:rPr>
          <w:rFonts w:ascii="Times New Roman" w:hAnsi="Times New Roman" w:cs="Times New Roman"/>
          <w:i/>
          <w:color w:val="000000" w:themeColor="text1"/>
          <w:sz w:val="24"/>
          <w:szCs w:val="24"/>
        </w:rPr>
        <w:t>p</w:t>
      </w:r>
      <w:r w:rsidR="00612DA0" w:rsidRPr="0090305A">
        <w:rPr>
          <w:rFonts w:ascii="Times New Roman" w:hAnsi="Times New Roman" w:cs="Times New Roman"/>
          <w:color w:val="000000" w:themeColor="text1"/>
          <w:sz w:val="24"/>
          <w:szCs w:val="24"/>
        </w:rPr>
        <w:t xml:space="preserve"> ≤0.001, t (898) = 1.5</w:t>
      </w:r>
      <w:r w:rsidR="009F4322" w:rsidRPr="0090305A">
        <w:rPr>
          <w:rFonts w:ascii="Times New Roman" w:hAnsi="Times New Roman" w:cs="Times New Roman"/>
          <w:color w:val="000000" w:themeColor="text1"/>
          <w:sz w:val="24"/>
          <w:szCs w:val="24"/>
        </w:rPr>
        <w:t>5</w:t>
      </w:r>
      <w:r w:rsidR="00612DA0" w:rsidRPr="0090305A">
        <w:rPr>
          <w:rFonts w:ascii="Times New Roman" w:hAnsi="Times New Roman" w:cs="Times New Roman"/>
          <w:color w:val="000000" w:themeColor="text1"/>
          <w:sz w:val="24"/>
          <w:szCs w:val="24"/>
        </w:rPr>
        <w:t>2).</w:t>
      </w:r>
      <w:r w:rsidR="001B411F" w:rsidRPr="0090305A">
        <w:rPr>
          <w:rFonts w:ascii="Times New Roman" w:hAnsi="Times New Roman" w:cs="Times New Roman"/>
          <w:color w:val="000000" w:themeColor="text1"/>
          <w:sz w:val="24"/>
          <w:szCs w:val="24"/>
        </w:rPr>
        <w:t xml:space="preserve"> On the contrary, practitioners working in Government-owned, the public sector or </w:t>
      </w:r>
      <w:r w:rsidR="001B411F" w:rsidRPr="0090305A">
        <w:rPr>
          <w:rFonts w:ascii="Times New Roman" w:hAnsi="Times New Roman" w:cs="Times New Roman"/>
          <w:color w:val="000000" w:themeColor="text1"/>
          <w:sz w:val="24"/>
          <w:szCs w:val="24"/>
        </w:rPr>
        <w:lastRenderedPageBreak/>
        <w:t xml:space="preserve">political organization presented lower levels resilience. </w:t>
      </w:r>
      <w:r w:rsidR="00DC5FF2" w:rsidRPr="0090305A">
        <w:rPr>
          <w:rFonts w:ascii="Times New Roman" w:hAnsi="Times New Roman" w:cs="Times New Roman"/>
          <w:color w:val="000000" w:themeColor="text1"/>
          <w:sz w:val="24"/>
          <w:szCs w:val="24"/>
        </w:rPr>
        <w:t xml:space="preserve">CD-RISC scores </w:t>
      </w:r>
      <w:r w:rsidR="001B411F" w:rsidRPr="0090305A">
        <w:rPr>
          <w:rFonts w:ascii="Times New Roman" w:hAnsi="Times New Roman" w:cs="Times New Roman"/>
          <w:color w:val="000000" w:themeColor="text1"/>
          <w:sz w:val="24"/>
          <w:szCs w:val="24"/>
        </w:rPr>
        <w:t xml:space="preserve">did not show </w:t>
      </w:r>
      <w:r w:rsidR="00664311" w:rsidRPr="0090305A">
        <w:rPr>
          <w:rFonts w:ascii="Times New Roman" w:hAnsi="Times New Roman" w:cs="Times New Roman"/>
          <w:color w:val="000000" w:themeColor="text1"/>
          <w:sz w:val="24"/>
          <w:szCs w:val="24"/>
        </w:rPr>
        <w:t xml:space="preserve">statistically </w:t>
      </w:r>
      <w:r w:rsidR="001B411F" w:rsidRPr="0090305A">
        <w:rPr>
          <w:rFonts w:ascii="Times New Roman" w:hAnsi="Times New Roman" w:cs="Times New Roman"/>
          <w:color w:val="000000" w:themeColor="text1"/>
          <w:sz w:val="24"/>
          <w:szCs w:val="24"/>
        </w:rPr>
        <w:t>significant</w:t>
      </w:r>
      <w:r w:rsidR="005B2D80" w:rsidRPr="0090305A">
        <w:rPr>
          <w:rFonts w:ascii="Times New Roman" w:hAnsi="Times New Roman" w:cs="Times New Roman"/>
          <w:color w:val="000000" w:themeColor="text1"/>
          <w:sz w:val="24"/>
          <w:szCs w:val="24"/>
        </w:rPr>
        <w:t xml:space="preserve"> positive</w:t>
      </w:r>
      <w:r w:rsidR="001B411F" w:rsidRPr="0090305A">
        <w:rPr>
          <w:rFonts w:ascii="Times New Roman" w:hAnsi="Times New Roman" w:cs="Times New Roman"/>
          <w:color w:val="000000" w:themeColor="text1"/>
          <w:sz w:val="24"/>
          <w:szCs w:val="24"/>
        </w:rPr>
        <w:t xml:space="preserve"> correlation</w:t>
      </w:r>
      <w:r w:rsidR="004B37CC" w:rsidRPr="0090305A">
        <w:rPr>
          <w:rFonts w:ascii="Times New Roman" w:hAnsi="Times New Roman" w:cs="Times New Roman"/>
          <w:color w:val="000000" w:themeColor="text1"/>
          <w:sz w:val="24"/>
          <w:szCs w:val="24"/>
        </w:rPr>
        <w:t xml:space="preserve"> with</w:t>
      </w:r>
      <w:r w:rsidR="00C53888" w:rsidRPr="0090305A">
        <w:rPr>
          <w:rFonts w:ascii="Times New Roman" w:hAnsi="Times New Roman" w:cs="Times New Roman"/>
          <w:color w:val="000000" w:themeColor="text1"/>
          <w:sz w:val="24"/>
          <w:szCs w:val="24"/>
        </w:rPr>
        <w:t xml:space="preserve"> gender, education</w:t>
      </w:r>
      <w:r w:rsidR="00B74B57" w:rsidRPr="0090305A">
        <w:rPr>
          <w:rFonts w:ascii="Times New Roman" w:hAnsi="Times New Roman" w:cs="Times New Roman"/>
          <w:color w:val="000000" w:themeColor="text1"/>
          <w:sz w:val="24"/>
          <w:szCs w:val="24"/>
        </w:rPr>
        <w:t xml:space="preserve">, </w:t>
      </w:r>
      <w:r w:rsidR="004B37CC" w:rsidRPr="0090305A">
        <w:rPr>
          <w:rFonts w:ascii="Times New Roman" w:hAnsi="Times New Roman" w:cs="Times New Roman"/>
          <w:color w:val="000000" w:themeColor="text1"/>
          <w:sz w:val="24"/>
          <w:szCs w:val="24"/>
        </w:rPr>
        <w:t>working in</w:t>
      </w:r>
      <w:r w:rsidR="00FF73C8" w:rsidRPr="0090305A">
        <w:rPr>
          <w:rFonts w:ascii="Times New Roman" w:hAnsi="Times New Roman" w:cs="Times New Roman"/>
          <w:color w:val="000000" w:themeColor="text1"/>
          <w:sz w:val="24"/>
          <w:szCs w:val="24"/>
        </w:rPr>
        <w:t xml:space="preserve"> successful, influent and</w:t>
      </w:r>
      <w:r w:rsidR="004B37CC" w:rsidRPr="0090305A">
        <w:rPr>
          <w:rFonts w:ascii="Times New Roman" w:hAnsi="Times New Roman" w:cs="Times New Roman"/>
          <w:color w:val="000000" w:themeColor="text1"/>
          <w:sz w:val="24"/>
          <w:szCs w:val="24"/>
        </w:rPr>
        <w:t xml:space="preserve"> excellent communication departments</w:t>
      </w:r>
      <w:r w:rsidR="00A71684" w:rsidRPr="0090305A">
        <w:rPr>
          <w:rFonts w:ascii="Times New Roman" w:hAnsi="Times New Roman" w:cs="Times New Roman"/>
          <w:color w:val="000000" w:themeColor="text1"/>
          <w:sz w:val="24"/>
          <w:szCs w:val="24"/>
        </w:rPr>
        <w:t xml:space="preserve"> </w:t>
      </w:r>
      <w:r w:rsidR="00A71684" w:rsidRPr="0090305A">
        <w:rPr>
          <w:rFonts w:ascii="Times New Roman" w:hAnsi="Times New Roman" w:cs="Times New Roman"/>
          <w:i/>
          <w:color w:val="000000" w:themeColor="text1"/>
          <w:sz w:val="24"/>
          <w:szCs w:val="24"/>
        </w:rPr>
        <w:t>(p ≤</w:t>
      </w:r>
      <w:r w:rsidR="00A71684" w:rsidRPr="0090305A">
        <w:rPr>
          <w:rFonts w:ascii="Times New Roman" w:hAnsi="Times New Roman" w:cs="Times New Roman"/>
          <w:color w:val="000000" w:themeColor="text1"/>
          <w:sz w:val="24"/>
          <w:szCs w:val="24"/>
        </w:rPr>
        <w:t xml:space="preserve"> 0.05</w:t>
      </w:r>
      <w:r w:rsidR="00A71684" w:rsidRPr="0090305A">
        <w:rPr>
          <w:rFonts w:ascii="Times New Roman" w:hAnsi="Times New Roman" w:cs="Times New Roman"/>
          <w:i/>
          <w:color w:val="000000" w:themeColor="text1"/>
          <w:sz w:val="24"/>
          <w:szCs w:val="24"/>
        </w:rPr>
        <w:t>)</w:t>
      </w:r>
      <w:r w:rsidR="004B37CC" w:rsidRPr="0090305A">
        <w:rPr>
          <w:rFonts w:ascii="Times New Roman" w:hAnsi="Times New Roman" w:cs="Times New Roman"/>
          <w:i/>
          <w:color w:val="000000" w:themeColor="text1"/>
          <w:sz w:val="24"/>
          <w:szCs w:val="24"/>
        </w:rPr>
        <w:t>.</w:t>
      </w:r>
    </w:p>
    <w:tbl>
      <w:tblPr>
        <w:tblStyle w:val="TableNormal"/>
        <w:tblW w:w="0" w:type="auto"/>
        <w:tblInd w:w="7" w:type="dxa"/>
        <w:tblLayout w:type="fixed"/>
        <w:tblLook w:val="01E0" w:firstRow="1" w:lastRow="1" w:firstColumn="1" w:lastColumn="1" w:noHBand="0" w:noVBand="0"/>
      </w:tblPr>
      <w:tblGrid>
        <w:gridCol w:w="3929"/>
        <w:gridCol w:w="803"/>
        <w:gridCol w:w="780"/>
        <w:gridCol w:w="851"/>
        <w:gridCol w:w="548"/>
      </w:tblGrid>
      <w:tr w:rsidR="00F65DFC" w14:paraId="62A676D9" w14:textId="77777777" w:rsidTr="007A4637">
        <w:trPr>
          <w:trHeight w:val="320"/>
        </w:trPr>
        <w:tc>
          <w:tcPr>
            <w:tcW w:w="3929" w:type="dxa"/>
            <w:tcBorders>
              <w:top w:val="single" w:sz="6" w:space="0" w:color="000000"/>
              <w:bottom w:val="single" w:sz="6" w:space="0" w:color="000000"/>
            </w:tcBorders>
          </w:tcPr>
          <w:p w14:paraId="0318F3B4" w14:textId="77777777" w:rsidR="00F65DFC" w:rsidRDefault="00F65DFC" w:rsidP="007A4637">
            <w:pPr>
              <w:pStyle w:val="TableParagraph"/>
              <w:spacing w:before="110"/>
              <w:ind w:left="-1"/>
              <w:rPr>
                <w:sz w:val="15"/>
              </w:rPr>
            </w:pPr>
            <w:r>
              <w:rPr>
                <w:sz w:val="15"/>
              </w:rPr>
              <w:t>Variables</w:t>
            </w:r>
          </w:p>
        </w:tc>
        <w:tc>
          <w:tcPr>
            <w:tcW w:w="803" w:type="dxa"/>
            <w:tcBorders>
              <w:top w:val="single" w:sz="6" w:space="0" w:color="000000"/>
              <w:bottom w:val="single" w:sz="6" w:space="0" w:color="000000"/>
            </w:tcBorders>
          </w:tcPr>
          <w:p w14:paraId="6F49E301" w14:textId="77777777" w:rsidR="00F65DFC" w:rsidRDefault="00F65DFC" w:rsidP="007A4637">
            <w:pPr>
              <w:pStyle w:val="TableParagraph"/>
              <w:spacing w:before="110"/>
              <w:ind w:left="205" w:right="205"/>
              <w:jc w:val="center"/>
              <w:rPr>
                <w:sz w:val="15"/>
              </w:rPr>
            </w:pPr>
            <w:r>
              <w:rPr>
                <w:sz w:val="15"/>
              </w:rPr>
              <w:t>Mean</w:t>
            </w:r>
          </w:p>
        </w:tc>
        <w:tc>
          <w:tcPr>
            <w:tcW w:w="780" w:type="dxa"/>
            <w:tcBorders>
              <w:top w:val="single" w:sz="6" w:space="0" w:color="000000"/>
              <w:bottom w:val="single" w:sz="6" w:space="0" w:color="000000"/>
            </w:tcBorders>
          </w:tcPr>
          <w:p w14:paraId="00969A6D" w14:textId="77777777" w:rsidR="00F65DFC" w:rsidRDefault="00F65DFC" w:rsidP="007A4637">
            <w:pPr>
              <w:pStyle w:val="TableParagraph"/>
              <w:spacing w:before="110"/>
              <w:ind w:right="296"/>
              <w:jc w:val="right"/>
              <w:rPr>
                <w:sz w:val="15"/>
              </w:rPr>
            </w:pPr>
            <w:r>
              <w:rPr>
                <w:w w:val="105"/>
                <w:sz w:val="15"/>
              </w:rPr>
              <w:t>SD</w:t>
            </w:r>
          </w:p>
        </w:tc>
        <w:tc>
          <w:tcPr>
            <w:tcW w:w="851" w:type="dxa"/>
            <w:tcBorders>
              <w:top w:val="single" w:sz="6" w:space="0" w:color="000000"/>
              <w:bottom w:val="single" w:sz="6" w:space="0" w:color="000000"/>
            </w:tcBorders>
          </w:tcPr>
          <w:p w14:paraId="2CAEF1C9" w14:textId="77777777" w:rsidR="00F65DFC" w:rsidRDefault="00F65DFC" w:rsidP="007A4637">
            <w:pPr>
              <w:pStyle w:val="TableParagraph"/>
              <w:spacing w:before="110"/>
              <w:ind w:left="310" w:right="306"/>
              <w:jc w:val="center"/>
              <w:rPr>
                <w:i/>
                <w:sz w:val="15"/>
              </w:rPr>
            </w:pPr>
            <w:r>
              <w:rPr>
                <w:i/>
                <w:w w:val="95"/>
                <w:sz w:val="15"/>
              </w:rPr>
              <w:t>t</w:t>
            </w:r>
            <w:r>
              <w:rPr>
                <w:w w:val="95"/>
                <w:sz w:val="15"/>
              </w:rPr>
              <w:t>/</w:t>
            </w:r>
            <w:r>
              <w:rPr>
                <w:i/>
                <w:w w:val="95"/>
                <w:sz w:val="15"/>
              </w:rPr>
              <w:t>F</w:t>
            </w:r>
          </w:p>
        </w:tc>
        <w:tc>
          <w:tcPr>
            <w:tcW w:w="548" w:type="dxa"/>
            <w:tcBorders>
              <w:top w:val="single" w:sz="6" w:space="0" w:color="000000"/>
              <w:bottom w:val="single" w:sz="6" w:space="0" w:color="000000"/>
            </w:tcBorders>
          </w:tcPr>
          <w:p w14:paraId="4E7E699C" w14:textId="77777777" w:rsidR="00F65DFC" w:rsidRDefault="00F65DFC" w:rsidP="007A4637">
            <w:pPr>
              <w:pStyle w:val="TableParagraph"/>
              <w:spacing w:before="110"/>
              <w:ind w:right="116"/>
              <w:jc w:val="right"/>
              <w:rPr>
                <w:i/>
                <w:sz w:val="15"/>
              </w:rPr>
            </w:pPr>
            <w:r>
              <w:rPr>
                <w:i/>
                <w:w w:val="89"/>
                <w:sz w:val="15"/>
              </w:rPr>
              <w:t>p</w:t>
            </w:r>
          </w:p>
        </w:tc>
      </w:tr>
      <w:tr w:rsidR="00F65DFC" w14:paraId="22EF2932" w14:textId="77777777" w:rsidTr="007A4637">
        <w:trPr>
          <w:trHeight w:val="448"/>
        </w:trPr>
        <w:tc>
          <w:tcPr>
            <w:tcW w:w="3929" w:type="dxa"/>
            <w:tcBorders>
              <w:top w:val="single" w:sz="6" w:space="0" w:color="000000"/>
            </w:tcBorders>
          </w:tcPr>
          <w:p w14:paraId="272A5E04" w14:textId="77777777" w:rsidR="00F65DFC" w:rsidRDefault="00F65DFC" w:rsidP="007A4637">
            <w:pPr>
              <w:pStyle w:val="TableParagraph"/>
              <w:spacing w:before="105" w:line="174" w:lineRule="exact"/>
              <w:ind w:left="-1"/>
              <w:rPr>
                <w:i/>
                <w:sz w:val="15"/>
              </w:rPr>
            </w:pPr>
            <w:r>
              <w:rPr>
                <w:i/>
                <w:sz w:val="15"/>
              </w:rPr>
              <w:t>Gender</w:t>
            </w:r>
          </w:p>
          <w:p w14:paraId="1F658A9C" w14:textId="77777777" w:rsidR="00F65DFC" w:rsidRDefault="00F65DFC" w:rsidP="007A4637">
            <w:pPr>
              <w:pStyle w:val="TableParagraph"/>
              <w:spacing w:line="149" w:lineRule="exact"/>
              <w:ind w:left="-1"/>
              <w:rPr>
                <w:sz w:val="15"/>
              </w:rPr>
            </w:pPr>
            <w:r>
              <w:rPr>
                <w:sz w:val="15"/>
              </w:rPr>
              <w:t>Female</w:t>
            </w:r>
          </w:p>
        </w:tc>
        <w:tc>
          <w:tcPr>
            <w:tcW w:w="803" w:type="dxa"/>
            <w:tcBorders>
              <w:top w:val="single" w:sz="6" w:space="0" w:color="000000"/>
            </w:tcBorders>
          </w:tcPr>
          <w:p w14:paraId="15833D45" w14:textId="77777777" w:rsidR="00F65DFC" w:rsidRDefault="00F65DFC" w:rsidP="007A4637">
            <w:pPr>
              <w:pStyle w:val="TableParagraph"/>
              <w:spacing w:before="7"/>
              <w:rPr>
                <w:sz w:val="23"/>
              </w:rPr>
            </w:pPr>
          </w:p>
          <w:p w14:paraId="66D23530" w14:textId="77777777" w:rsidR="00F65DFC" w:rsidRDefault="00F65DFC" w:rsidP="007A4637">
            <w:pPr>
              <w:pStyle w:val="TableParagraph"/>
              <w:spacing w:line="151" w:lineRule="exact"/>
              <w:ind w:left="205" w:right="205"/>
              <w:jc w:val="center"/>
              <w:rPr>
                <w:sz w:val="15"/>
              </w:rPr>
            </w:pPr>
            <w:r>
              <w:rPr>
                <w:w w:val="95"/>
                <w:sz w:val="15"/>
              </w:rPr>
              <w:t>77.13</w:t>
            </w:r>
          </w:p>
        </w:tc>
        <w:tc>
          <w:tcPr>
            <w:tcW w:w="780" w:type="dxa"/>
            <w:tcBorders>
              <w:top w:val="single" w:sz="6" w:space="0" w:color="000000"/>
            </w:tcBorders>
          </w:tcPr>
          <w:p w14:paraId="294F6A53" w14:textId="77777777" w:rsidR="00F65DFC" w:rsidRDefault="00F65DFC" w:rsidP="007A4637">
            <w:pPr>
              <w:pStyle w:val="TableParagraph"/>
              <w:spacing w:before="7"/>
              <w:rPr>
                <w:sz w:val="23"/>
              </w:rPr>
            </w:pPr>
          </w:p>
          <w:p w14:paraId="66AEBD9A" w14:textId="77777777" w:rsidR="00F65DFC" w:rsidRDefault="00F65DFC" w:rsidP="007A4637">
            <w:pPr>
              <w:pStyle w:val="TableParagraph"/>
              <w:spacing w:line="151" w:lineRule="exact"/>
              <w:ind w:right="230"/>
              <w:jc w:val="right"/>
              <w:rPr>
                <w:sz w:val="15"/>
              </w:rPr>
            </w:pPr>
            <w:r>
              <w:rPr>
                <w:w w:val="95"/>
                <w:sz w:val="15"/>
              </w:rPr>
              <w:t>22.37</w:t>
            </w:r>
          </w:p>
        </w:tc>
        <w:tc>
          <w:tcPr>
            <w:tcW w:w="851" w:type="dxa"/>
            <w:tcBorders>
              <w:top w:val="single" w:sz="6" w:space="0" w:color="000000"/>
            </w:tcBorders>
          </w:tcPr>
          <w:p w14:paraId="58ACB9C6" w14:textId="77777777" w:rsidR="00F65DFC" w:rsidRDefault="00F65DFC" w:rsidP="007A4637">
            <w:pPr>
              <w:pStyle w:val="TableParagraph"/>
              <w:spacing w:before="7"/>
              <w:rPr>
                <w:sz w:val="23"/>
              </w:rPr>
            </w:pPr>
          </w:p>
          <w:p w14:paraId="755FD24B" w14:textId="77777777" w:rsidR="00F65DFC" w:rsidRDefault="00F65DFC" w:rsidP="007A4637">
            <w:pPr>
              <w:pStyle w:val="TableParagraph"/>
              <w:spacing w:line="151" w:lineRule="exact"/>
              <w:ind w:right="228"/>
              <w:jc w:val="right"/>
              <w:rPr>
                <w:sz w:val="15"/>
              </w:rPr>
            </w:pPr>
            <w:r>
              <w:rPr>
                <w:w w:val="95"/>
                <w:sz w:val="15"/>
              </w:rPr>
              <w:t>1.065</w:t>
            </w:r>
          </w:p>
        </w:tc>
        <w:tc>
          <w:tcPr>
            <w:tcW w:w="548" w:type="dxa"/>
            <w:tcBorders>
              <w:top w:val="single" w:sz="6" w:space="0" w:color="000000"/>
            </w:tcBorders>
          </w:tcPr>
          <w:p w14:paraId="781380A0" w14:textId="77777777" w:rsidR="00F65DFC" w:rsidRDefault="00F65DFC" w:rsidP="007A4637">
            <w:pPr>
              <w:pStyle w:val="TableParagraph"/>
              <w:spacing w:before="7"/>
              <w:rPr>
                <w:sz w:val="23"/>
              </w:rPr>
            </w:pPr>
          </w:p>
          <w:p w14:paraId="1F3A8438" w14:textId="77777777" w:rsidR="00F65DFC" w:rsidRDefault="00F65DFC" w:rsidP="007A4637">
            <w:pPr>
              <w:pStyle w:val="TableParagraph"/>
              <w:spacing w:line="151" w:lineRule="exact"/>
              <w:ind w:right="-15"/>
              <w:jc w:val="right"/>
              <w:rPr>
                <w:sz w:val="15"/>
              </w:rPr>
            </w:pPr>
            <w:r>
              <w:rPr>
                <w:w w:val="95"/>
                <w:sz w:val="15"/>
              </w:rPr>
              <w:t>0.324</w:t>
            </w:r>
          </w:p>
        </w:tc>
      </w:tr>
      <w:tr w:rsidR="00F65DFC" w14:paraId="3D188D04" w14:textId="77777777" w:rsidTr="007A4637">
        <w:trPr>
          <w:trHeight w:val="514"/>
        </w:trPr>
        <w:tc>
          <w:tcPr>
            <w:tcW w:w="3929" w:type="dxa"/>
          </w:tcPr>
          <w:p w14:paraId="4C0C1644" w14:textId="77777777" w:rsidR="00F65DFC" w:rsidRDefault="00F65DFC" w:rsidP="007A4637">
            <w:pPr>
              <w:pStyle w:val="TableParagraph"/>
              <w:spacing w:line="173" w:lineRule="exact"/>
              <w:ind w:left="-1"/>
              <w:rPr>
                <w:sz w:val="15"/>
              </w:rPr>
            </w:pPr>
            <w:r>
              <w:rPr>
                <w:sz w:val="15"/>
              </w:rPr>
              <w:t>Male</w:t>
            </w:r>
          </w:p>
          <w:p w14:paraId="06BF03E7" w14:textId="77777777" w:rsidR="00F65DFC" w:rsidRDefault="00F65DFC" w:rsidP="007A4637">
            <w:pPr>
              <w:pStyle w:val="TableParagraph"/>
              <w:spacing w:line="171" w:lineRule="exact"/>
              <w:ind w:left="-1"/>
              <w:rPr>
                <w:i/>
                <w:sz w:val="15"/>
              </w:rPr>
            </w:pPr>
            <w:r>
              <w:rPr>
                <w:i/>
                <w:sz w:val="15"/>
              </w:rPr>
              <w:t>Age</w:t>
            </w:r>
          </w:p>
          <w:p w14:paraId="6905562F" w14:textId="77777777" w:rsidR="00F65DFC" w:rsidRDefault="00F65DFC" w:rsidP="007A4637">
            <w:pPr>
              <w:pStyle w:val="TableParagraph"/>
              <w:spacing w:line="150" w:lineRule="exact"/>
              <w:ind w:left="-1"/>
              <w:rPr>
                <w:sz w:val="15"/>
              </w:rPr>
            </w:pPr>
            <w:r>
              <w:rPr>
                <w:w w:val="95"/>
                <w:sz w:val="15"/>
              </w:rPr>
              <w:t>18</w:t>
            </w:r>
            <w:r>
              <w:rPr>
                <w:spacing w:val="2"/>
                <w:w w:val="95"/>
                <w:sz w:val="15"/>
              </w:rPr>
              <w:t xml:space="preserve"> </w:t>
            </w:r>
            <w:r>
              <w:rPr>
                <w:w w:val="95"/>
                <w:sz w:val="15"/>
              </w:rPr>
              <w:t>to</w:t>
            </w:r>
            <w:r>
              <w:rPr>
                <w:spacing w:val="1"/>
                <w:w w:val="95"/>
                <w:sz w:val="15"/>
              </w:rPr>
              <w:t xml:space="preserve"> </w:t>
            </w:r>
            <w:r>
              <w:rPr>
                <w:w w:val="95"/>
                <w:sz w:val="15"/>
              </w:rPr>
              <w:t>29</w:t>
            </w:r>
          </w:p>
        </w:tc>
        <w:tc>
          <w:tcPr>
            <w:tcW w:w="803" w:type="dxa"/>
          </w:tcPr>
          <w:p w14:paraId="0CC83BCB" w14:textId="77777777" w:rsidR="00F65DFC" w:rsidRDefault="00F65DFC" w:rsidP="007A4637">
            <w:pPr>
              <w:pStyle w:val="TableParagraph"/>
              <w:ind w:left="244"/>
              <w:rPr>
                <w:sz w:val="15"/>
              </w:rPr>
            </w:pPr>
            <w:r>
              <w:rPr>
                <w:w w:val="95"/>
                <w:sz w:val="15"/>
              </w:rPr>
              <w:t>77.05</w:t>
            </w:r>
          </w:p>
          <w:p w14:paraId="78AA91BE" w14:textId="77777777" w:rsidR="00F65DFC" w:rsidRDefault="00F65DFC" w:rsidP="007A4637">
            <w:pPr>
              <w:pStyle w:val="TableParagraph"/>
              <w:spacing w:before="2"/>
              <w:rPr>
                <w:sz w:val="14"/>
              </w:rPr>
            </w:pPr>
          </w:p>
          <w:p w14:paraId="42A60C4D" w14:textId="77777777" w:rsidR="00F65DFC" w:rsidRDefault="00F65DFC" w:rsidP="007A4637">
            <w:pPr>
              <w:pStyle w:val="TableParagraph"/>
              <w:spacing w:line="152" w:lineRule="exact"/>
              <w:ind w:left="244"/>
              <w:rPr>
                <w:sz w:val="15"/>
              </w:rPr>
            </w:pPr>
            <w:r>
              <w:rPr>
                <w:w w:val="95"/>
                <w:sz w:val="15"/>
              </w:rPr>
              <w:t>75.67</w:t>
            </w:r>
          </w:p>
        </w:tc>
        <w:tc>
          <w:tcPr>
            <w:tcW w:w="780" w:type="dxa"/>
          </w:tcPr>
          <w:p w14:paraId="7732BD90" w14:textId="77777777" w:rsidR="00F65DFC" w:rsidRDefault="00F65DFC" w:rsidP="007A4637">
            <w:pPr>
              <w:pStyle w:val="TableParagraph"/>
              <w:ind w:left="234"/>
              <w:rPr>
                <w:sz w:val="15"/>
              </w:rPr>
            </w:pPr>
            <w:r>
              <w:rPr>
                <w:w w:val="95"/>
                <w:sz w:val="15"/>
              </w:rPr>
              <w:t>22.07</w:t>
            </w:r>
          </w:p>
          <w:p w14:paraId="709F241D" w14:textId="77777777" w:rsidR="00F65DFC" w:rsidRDefault="00F65DFC" w:rsidP="007A4637">
            <w:pPr>
              <w:pStyle w:val="TableParagraph"/>
              <w:spacing w:before="2"/>
              <w:rPr>
                <w:sz w:val="14"/>
              </w:rPr>
            </w:pPr>
          </w:p>
          <w:p w14:paraId="24394E78" w14:textId="77777777" w:rsidR="00F65DFC" w:rsidRDefault="00F65DFC" w:rsidP="007A4637">
            <w:pPr>
              <w:pStyle w:val="TableParagraph"/>
              <w:spacing w:line="152" w:lineRule="exact"/>
              <w:ind w:left="234"/>
              <w:rPr>
                <w:sz w:val="15"/>
              </w:rPr>
            </w:pPr>
            <w:r>
              <w:rPr>
                <w:w w:val="95"/>
                <w:sz w:val="15"/>
              </w:rPr>
              <w:t>22.99</w:t>
            </w:r>
          </w:p>
        </w:tc>
        <w:tc>
          <w:tcPr>
            <w:tcW w:w="851" w:type="dxa"/>
          </w:tcPr>
          <w:p w14:paraId="458414A8" w14:textId="77777777" w:rsidR="00F65DFC" w:rsidRDefault="00F65DFC" w:rsidP="007A4637">
            <w:pPr>
              <w:pStyle w:val="TableParagraph"/>
              <w:rPr>
                <w:sz w:val="18"/>
              </w:rPr>
            </w:pPr>
          </w:p>
          <w:p w14:paraId="77193A4F" w14:textId="77777777" w:rsidR="00F65DFC" w:rsidRDefault="00F65DFC" w:rsidP="007A4637">
            <w:pPr>
              <w:pStyle w:val="TableParagraph"/>
              <w:spacing w:before="131" w:line="152" w:lineRule="exact"/>
              <w:ind w:right="228"/>
              <w:jc w:val="right"/>
              <w:rPr>
                <w:sz w:val="15"/>
              </w:rPr>
            </w:pPr>
            <w:r>
              <w:rPr>
                <w:w w:val="95"/>
                <w:sz w:val="15"/>
              </w:rPr>
              <w:t>1.542</w:t>
            </w:r>
          </w:p>
        </w:tc>
        <w:tc>
          <w:tcPr>
            <w:tcW w:w="548" w:type="dxa"/>
          </w:tcPr>
          <w:p w14:paraId="1DDEDB44" w14:textId="77777777" w:rsidR="00F65DFC" w:rsidRDefault="00F65DFC" w:rsidP="007A4637">
            <w:pPr>
              <w:pStyle w:val="TableParagraph"/>
              <w:rPr>
                <w:sz w:val="18"/>
              </w:rPr>
            </w:pPr>
          </w:p>
          <w:p w14:paraId="098E8F35" w14:textId="77777777" w:rsidR="00F65DFC" w:rsidRDefault="00F65DFC" w:rsidP="007A4637">
            <w:pPr>
              <w:pStyle w:val="TableParagraph"/>
              <w:spacing w:before="131" w:line="152" w:lineRule="exact"/>
              <w:ind w:right="-15"/>
              <w:jc w:val="right"/>
              <w:rPr>
                <w:sz w:val="15"/>
              </w:rPr>
            </w:pPr>
            <w:r>
              <w:rPr>
                <w:w w:val="95"/>
                <w:sz w:val="15"/>
              </w:rPr>
              <w:t>0.001</w:t>
            </w:r>
          </w:p>
        </w:tc>
      </w:tr>
      <w:tr w:rsidR="00F65DFC" w14:paraId="3CAA13D3" w14:textId="77777777" w:rsidTr="007A4637">
        <w:trPr>
          <w:trHeight w:val="171"/>
        </w:trPr>
        <w:tc>
          <w:tcPr>
            <w:tcW w:w="3929" w:type="dxa"/>
          </w:tcPr>
          <w:p w14:paraId="71E6A519" w14:textId="77777777" w:rsidR="00F65DFC" w:rsidRDefault="00F65DFC" w:rsidP="007A4637">
            <w:pPr>
              <w:pStyle w:val="TableParagraph"/>
              <w:spacing w:line="151" w:lineRule="exact"/>
              <w:ind w:left="-1"/>
              <w:rPr>
                <w:sz w:val="15"/>
              </w:rPr>
            </w:pPr>
            <w:r>
              <w:rPr>
                <w:w w:val="95"/>
                <w:sz w:val="15"/>
              </w:rPr>
              <w:t>30</w:t>
            </w:r>
            <w:r>
              <w:rPr>
                <w:spacing w:val="2"/>
                <w:w w:val="95"/>
                <w:sz w:val="15"/>
              </w:rPr>
              <w:t xml:space="preserve"> </w:t>
            </w:r>
            <w:r>
              <w:rPr>
                <w:w w:val="95"/>
                <w:sz w:val="15"/>
              </w:rPr>
              <w:t>to</w:t>
            </w:r>
            <w:r>
              <w:rPr>
                <w:spacing w:val="1"/>
                <w:w w:val="95"/>
                <w:sz w:val="15"/>
              </w:rPr>
              <w:t xml:space="preserve"> </w:t>
            </w:r>
            <w:r>
              <w:rPr>
                <w:w w:val="95"/>
                <w:sz w:val="15"/>
              </w:rPr>
              <w:t>39</w:t>
            </w:r>
          </w:p>
        </w:tc>
        <w:tc>
          <w:tcPr>
            <w:tcW w:w="803" w:type="dxa"/>
          </w:tcPr>
          <w:p w14:paraId="38589756" w14:textId="77777777" w:rsidR="00F65DFC" w:rsidRDefault="00F65DFC" w:rsidP="007A4637">
            <w:pPr>
              <w:pStyle w:val="TableParagraph"/>
              <w:spacing w:line="151" w:lineRule="exact"/>
              <w:ind w:left="205" w:right="205"/>
              <w:jc w:val="center"/>
              <w:rPr>
                <w:sz w:val="15"/>
              </w:rPr>
            </w:pPr>
            <w:r>
              <w:rPr>
                <w:w w:val="95"/>
                <w:sz w:val="15"/>
              </w:rPr>
              <w:t>77.28</w:t>
            </w:r>
          </w:p>
        </w:tc>
        <w:tc>
          <w:tcPr>
            <w:tcW w:w="780" w:type="dxa"/>
          </w:tcPr>
          <w:p w14:paraId="39B27D68" w14:textId="77777777" w:rsidR="00F65DFC" w:rsidRDefault="00F65DFC" w:rsidP="007A4637">
            <w:pPr>
              <w:pStyle w:val="TableParagraph"/>
              <w:spacing w:line="151" w:lineRule="exact"/>
              <w:ind w:right="230"/>
              <w:jc w:val="right"/>
              <w:rPr>
                <w:sz w:val="15"/>
              </w:rPr>
            </w:pPr>
            <w:r>
              <w:rPr>
                <w:w w:val="95"/>
                <w:sz w:val="15"/>
              </w:rPr>
              <w:t>22.39</w:t>
            </w:r>
          </w:p>
        </w:tc>
        <w:tc>
          <w:tcPr>
            <w:tcW w:w="851" w:type="dxa"/>
          </w:tcPr>
          <w:p w14:paraId="0F81DD58" w14:textId="77777777" w:rsidR="00F65DFC" w:rsidRDefault="00F65DFC" w:rsidP="007A4637">
            <w:pPr>
              <w:pStyle w:val="TableParagraph"/>
              <w:rPr>
                <w:rFonts w:ascii="Times New Roman"/>
                <w:sz w:val="10"/>
              </w:rPr>
            </w:pPr>
          </w:p>
        </w:tc>
        <w:tc>
          <w:tcPr>
            <w:tcW w:w="548" w:type="dxa"/>
          </w:tcPr>
          <w:p w14:paraId="0415354A" w14:textId="77777777" w:rsidR="00F65DFC" w:rsidRDefault="00F65DFC" w:rsidP="007A4637">
            <w:pPr>
              <w:pStyle w:val="TableParagraph"/>
              <w:rPr>
                <w:rFonts w:ascii="Times New Roman"/>
                <w:sz w:val="10"/>
              </w:rPr>
            </w:pPr>
          </w:p>
        </w:tc>
      </w:tr>
      <w:tr w:rsidR="00F65DFC" w14:paraId="3AE6FF72" w14:textId="77777777" w:rsidTr="007A4637">
        <w:trPr>
          <w:trHeight w:val="171"/>
        </w:trPr>
        <w:tc>
          <w:tcPr>
            <w:tcW w:w="3929" w:type="dxa"/>
          </w:tcPr>
          <w:p w14:paraId="63C76B7A" w14:textId="77777777" w:rsidR="00F65DFC" w:rsidRDefault="00F65DFC" w:rsidP="007A4637">
            <w:pPr>
              <w:pStyle w:val="TableParagraph"/>
              <w:spacing w:line="151" w:lineRule="exact"/>
              <w:ind w:left="-1"/>
              <w:rPr>
                <w:sz w:val="15"/>
              </w:rPr>
            </w:pPr>
            <w:r>
              <w:rPr>
                <w:w w:val="95"/>
                <w:sz w:val="15"/>
              </w:rPr>
              <w:t>40</w:t>
            </w:r>
            <w:r>
              <w:rPr>
                <w:spacing w:val="2"/>
                <w:w w:val="95"/>
                <w:sz w:val="15"/>
              </w:rPr>
              <w:t xml:space="preserve"> </w:t>
            </w:r>
            <w:r>
              <w:rPr>
                <w:w w:val="95"/>
                <w:sz w:val="15"/>
              </w:rPr>
              <w:t>to</w:t>
            </w:r>
            <w:r>
              <w:rPr>
                <w:spacing w:val="1"/>
                <w:w w:val="95"/>
                <w:sz w:val="15"/>
              </w:rPr>
              <w:t xml:space="preserve"> </w:t>
            </w:r>
            <w:r>
              <w:rPr>
                <w:w w:val="95"/>
                <w:sz w:val="15"/>
              </w:rPr>
              <w:t>49</w:t>
            </w:r>
          </w:p>
        </w:tc>
        <w:tc>
          <w:tcPr>
            <w:tcW w:w="803" w:type="dxa"/>
          </w:tcPr>
          <w:p w14:paraId="747321C0" w14:textId="77777777" w:rsidR="00F65DFC" w:rsidRDefault="00F65DFC" w:rsidP="007A4637">
            <w:pPr>
              <w:pStyle w:val="TableParagraph"/>
              <w:spacing w:line="151" w:lineRule="exact"/>
              <w:ind w:left="205" w:right="205"/>
              <w:jc w:val="center"/>
              <w:rPr>
                <w:sz w:val="15"/>
              </w:rPr>
            </w:pPr>
            <w:r>
              <w:rPr>
                <w:w w:val="95"/>
                <w:sz w:val="15"/>
              </w:rPr>
              <w:t>77.36</w:t>
            </w:r>
          </w:p>
        </w:tc>
        <w:tc>
          <w:tcPr>
            <w:tcW w:w="780" w:type="dxa"/>
          </w:tcPr>
          <w:p w14:paraId="7FE2BB4E" w14:textId="77777777" w:rsidR="00F65DFC" w:rsidRDefault="00F65DFC" w:rsidP="007A4637">
            <w:pPr>
              <w:pStyle w:val="TableParagraph"/>
              <w:spacing w:line="151" w:lineRule="exact"/>
              <w:ind w:right="230"/>
              <w:jc w:val="right"/>
              <w:rPr>
                <w:sz w:val="15"/>
              </w:rPr>
            </w:pPr>
            <w:r>
              <w:rPr>
                <w:w w:val="95"/>
                <w:sz w:val="15"/>
              </w:rPr>
              <w:t>21.86</w:t>
            </w:r>
          </w:p>
        </w:tc>
        <w:tc>
          <w:tcPr>
            <w:tcW w:w="851" w:type="dxa"/>
          </w:tcPr>
          <w:p w14:paraId="3838A994" w14:textId="77777777" w:rsidR="00F65DFC" w:rsidRDefault="00F65DFC" w:rsidP="007A4637">
            <w:pPr>
              <w:pStyle w:val="TableParagraph"/>
              <w:rPr>
                <w:rFonts w:ascii="Times New Roman"/>
                <w:sz w:val="10"/>
              </w:rPr>
            </w:pPr>
          </w:p>
        </w:tc>
        <w:tc>
          <w:tcPr>
            <w:tcW w:w="548" w:type="dxa"/>
          </w:tcPr>
          <w:p w14:paraId="70CE718C" w14:textId="77777777" w:rsidR="00F65DFC" w:rsidRDefault="00F65DFC" w:rsidP="007A4637">
            <w:pPr>
              <w:pStyle w:val="TableParagraph"/>
              <w:rPr>
                <w:rFonts w:ascii="Times New Roman"/>
                <w:sz w:val="10"/>
              </w:rPr>
            </w:pPr>
          </w:p>
        </w:tc>
      </w:tr>
      <w:tr w:rsidR="00F65DFC" w14:paraId="3733E9F0" w14:textId="77777777" w:rsidTr="007A4637">
        <w:trPr>
          <w:trHeight w:val="171"/>
        </w:trPr>
        <w:tc>
          <w:tcPr>
            <w:tcW w:w="3929" w:type="dxa"/>
          </w:tcPr>
          <w:p w14:paraId="4AE28E5B" w14:textId="77777777" w:rsidR="00F65DFC" w:rsidRDefault="00F65DFC" w:rsidP="007A4637">
            <w:pPr>
              <w:pStyle w:val="TableParagraph"/>
              <w:spacing w:line="151" w:lineRule="exact"/>
              <w:ind w:left="-1"/>
              <w:rPr>
                <w:sz w:val="15"/>
              </w:rPr>
            </w:pPr>
            <w:r>
              <w:rPr>
                <w:w w:val="95"/>
                <w:sz w:val="15"/>
              </w:rPr>
              <w:t>50</w:t>
            </w:r>
            <w:r>
              <w:rPr>
                <w:spacing w:val="2"/>
                <w:w w:val="95"/>
                <w:sz w:val="15"/>
              </w:rPr>
              <w:t xml:space="preserve"> </w:t>
            </w:r>
            <w:r>
              <w:rPr>
                <w:w w:val="95"/>
                <w:sz w:val="15"/>
              </w:rPr>
              <w:t>to</w:t>
            </w:r>
            <w:r>
              <w:rPr>
                <w:spacing w:val="1"/>
                <w:w w:val="95"/>
                <w:sz w:val="15"/>
              </w:rPr>
              <w:t xml:space="preserve"> </w:t>
            </w:r>
            <w:r>
              <w:rPr>
                <w:w w:val="95"/>
                <w:sz w:val="15"/>
              </w:rPr>
              <w:t>59</w:t>
            </w:r>
          </w:p>
        </w:tc>
        <w:tc>
          <w:tcPr>
            <w:tcW w:w="803" w:type="dxa"/>
          </w:tcPr>
          <w:p w14:paraId="707C2002" w14:textId="77777777" w:rsidR="00F65DFC" w:rsidRDefault="00F65DFC" w:rsidP="007A4637">
            <w:pPr>
              <w:pStyle w:val="TableParagraph"/>
              <w:spacing w:line="151" w:lineRule="exact"/>
              <w:ind w:left="205" w:right="205"/>
              <w:jc w:val="center"/>
              <w:rPr>
                <w:sz w:val="15"/>
              </w:rPr>
            </w:pPr>
            <w:r>
              <w:rPr>
                <w:w w:val="95"/>
                <w:sz w:val="15"/>
              </w:rPr>
              <w:t>78.03</w:t>
            </w:r>
          </w:p>
        </w:tc>
        <w:tc>
          <w:tcPr>
            <w:tcW w:w="780" w:type="dxa"/>
          </w:tcPr>
          <w:p w14:paraId="64E4DC98" w14:textId="77777777" w:rsidR="00F65DFC" w:rsidRDefault="00F65DFC" w:rsidP="007A4637">
            <w:pPr>
              <w:pStyle w:val="TableParagraph"/>
              <w:spacing w:line="151" w:lineRule="exact"/>
              <w:ind w:right="230"/>
              <w:jc w:val="right"/>
              <w:rPr>
                <w:sz w:val="15"/>
              </w:rPr>
            </w:pPr>
            <w:r>
              <w:rPr>
                <w:w w:val="95"/>
                <w:sz w:val="15"/>
              </w:rPr>
              <w:t>21.79</w:t>
            </w:r>
          </w:p>
        </w:tc>
        <w:tc>
          <w:tcPr>
            <w:tcW w:w="851" w:type="dxa"/>
          </w:tcPr>
          <w:p w14:paraId="3AEF9467" w14:textId="77777777" w:rsidR="00F65DFC" w:rsidRDefault="00F65DFC" w:rsidP="007A4637">
            <w:pPr>
              <w:pStyle w:val="TableParagraph"/>
              <w:rPr>
                <w:rFonts w:ascii="Times New Roman"/>
                <w:sz w:val="10"/>
              </w:rPr>
            </w:pPr>
          </w:p>
        </w:tc>
        <w:tc>
          <w:tcPr>
            <w:tcW w:w="548" w:type="dxa"/>
          </w:tcPr>
          <w:p w14:paraId="141CFD73" w14:textId="77777777" w:rsidR="00F65DFC" w:rsidRDefault="00F65DFC" w:rsidP="007A4637">
            <w:pPr>
              <w:pStyle w:val="TableParagraph"/>
              <w:rPr>
                <w:rFonts w:ascii="Times New Roman"/>
                <w:sz w:val="10"/>
              </w:rPr>
            </w:pPr>
          </w:p>
        </w:tc>
      </w:tr>
      <w:tr w:rsidR="00F65DFC" w14:paraId="4C7E1B0B" w14:textId="77777777" w:rsidTr="007A4637">
        <w:trPr>
          <w:trHeight w:val="231"/>
        </w:trPr>
        <w:tc>
          <w:tcPr>
            <w:tcW w:w="3929" w:type="dxa"/>
          </w:tcPr>
          <w:p w14:paraId="5DA268C3" w14:textId="77777777" w:rsidR="00F65DFC" w:rsidRDefault="00F65DFC" w:rsidP="007A4637">
            <w:pPr>
              <w:pStyle w:val="TableParagraph"/>
              <w:ind w:left="-1"/>
              <w:rPr>
                <w:sz w:val="15"/>
              </w:rPr>
            </w:pPr>
            <w:r>
              <w:rPr>
                <w:w w:val="95"/>
                <w:sz w:val="15"/>
              </w:rPr>
              <w:t>More</w:t>
            </w:r>
            <w:r>
              <w:rPr>
                <w:spacing w:val="9"/>
                <w:w w:val="95"/>
                <w:sz w:val="15"/>
              </w:rPr>
              <w:t xml:space="preserve"> </w:t>
            </w:r>
            <w:r>
              <w:rPr>
                <w:w w:val="95"/>
                <w:sz w:val="15"/>
              </w:rPr>
              <w:t>than</w:t>
            </w:r>
            <w:r>
              <w:rPr>
                <w:spacing w:val="9"/>
                <w:w w:val="95"/>
                <w:sz w:val="15"/>
              </w:rPr>
              <w:t xml:space="preserve"> </w:t>
            </w:r>
            <w:r>
              <w:rPr>
                <w:w w:val="95"/>
                <w:sz w:val="15"/>
              </w:rPr>
              <w:t>60</w:t>
            </w:r>
            <w:r>
              <w:rPr>
                <w:spacing w:val="9"/>
                <w:w w:val="95"/>
                <w:sz w:val="15"/>
              </w:rPr>
              <w:t xml:space="preserve"> </w:t>
            </w:r>
            <w:r>
              <w:rPr>
                <w:w w:val="95"/>
                <w:sz w:val="15"/>
              </w:rPr>
              <w:t>years</w:t>
            </w:r>
            <w:r>
              <w:rPr>
                <w:spacing w:val="8"/>
                <w:w w:val="95"/>
                <w:sz w:val="15"/>
              </w:rPr>
              <w:t xml:space="preserve"> </w:t>
            </w:r>
            <w:r>
              <w:rPr>
                <w:w w:val="95"/>
                <w:sz w:val="15"/>
              </w:rPr>
              <w:t>old</w:t>
            </w:r>
          </w:p>
        </w:tc>
        <w:tc>
          <w:tcPr>
            <w:tcW w:w="803" w:type="dxa"/>
          </w:tcPr>
          <w:p w14:paraId="3A99F31B" w14:textId="77777777" w:rsidR="00F65DFC" w:rsidRDefault="00F65DFC" w:rsidP="007A4637">
            <w:pPr>
              <w:pStyle w:val="TableParagraph"/>
              <w:ind w:left="205" w:right="205"/>
              <w:jc w:val="center"/>
              <w:rPr>
                <w:sz w:val="15"/>
              </w:rPr>
            </w:pPr>
            <w:r>
              <w:rPr>
                <w:w w:val="95"/>
                <w:sz w:val="15"/>
              </w:rPr>
              <w:t>78.32</w:t>
            </w:r>
          </w:p>
        </w:tc>
        <w:tc>
          <w:tcPr>
            <w:tcW w:w="780" w:type="dxa"/>
          </w:tcPr>
          <w:p w14:paraId="3F102CB9" w14:textId="77777777" w:rsidR="00F65DFC" w:rsidRDefault="00F65DFC" w:rsidP="007A4637">
            <w:pPr>
              <w:pStyle w:val="TableParagraph"/>
              <w:ind w:right="230"/>
              <w:jc w:val="right"/>
              <w:rPr>
                <w:sz w:val="15"/>
              </w:rPr>
            </w:pPr>
            <w:r>
              <w:rPr>
                <w:w w:val="95"/>
                <w:sz w:val="15"/>
              </w:rPr>
              <w:t>20.19</w:t>
            </w:r>
          </w:p>
        </w:tc>
        <w:tc>
          <w:tcPr>
            <w:tcW w:w="851" w:type="dxa"/>
          </w:tcPr>
          <w:p w14:paraId="6A908DD8" w14:textId="77777777" w:rsidR="00F65DFC" w:rsidRDefault="00F65DFC" w:rsidP="007A4637">
            <w:pPr>
              <w:pStyle w:val="TableParagraph"/>
              <w:rPr>
                <w:rFonts w:ascii="Times New Roman"/>
                <w:sz w:val="14"/>
              </w:rPr>
            </w:pPr>
          </w:p>
        </w:tc>
        <w:tc>
          <w:tcPr>
            <w:tcW w:w="548" w:type="dxa"/>
          </w:tcPr>
          <w:p w14:paraId="469E931A" w14:textId="77777777" w:rsidR="00F65DFC" w:rsidRDefault="00F65DFC" w:rsidP="007A4637">
            <w:pPr>
              <w:pStyle w:val="TableParagraph"/>
              <w:rPr>
                <w:rFonts w:ascii="Times New Roman"/>
                <w:sz w:val="14"/>
              </w:rPr>
            </w:pPr>
          </w:p>
        </w:tc>
      </w:tr>
      <w:tr w:rsidR="00F65DFC" w14:paraId="4E2CD177" w14:textId="77777777" w:rsidTr="007A4637">
        <w:trPr>
          <w:trHeight w:val="402"/>
        </w:trPr>
        <w:tc>
          <w:tcPr>
            <w:tcW w:w="3929" w:type="dxa"/>
          </w:tcPr>
          <w:p w14:paraId="1CE06398" w14:textId="77777777" w:rsidR="00F65DFC" w:rsidRDefault="00F65DFC" w:rsidP="007A4637">
            <w:pPr>
              <w:pStyle w:val="TableParagraph"/>
              <w:spacing w:before="60" w:line="174" w:lineRule="exact"/>
              <w:ind w:left="-1"/>
              <w:rPr>
                <w:i/>
                <w:sz w:val="15"/>
              </w:rPr>
            </w:pPr>
            <w:r>
              <w:rPr>
                <w:i/>
                <w:sz w:val="15"/>
              </w:rPr>
              <w:t>Position</w:t>
            </w:r>
          </w:p>
          <w:p w14:paraId="67597597" w14:textId="77777777" w:rsidR="00F65DFC" w:rsidRDefault="00F65DFC" w:rsidP="007A4637">
            <w:pPr>
              <w:pStyle w:val="TableParagraph"/>
              <w:spacing w:line="149" w:lineRule="exact"/>
              <w:ind w:left="-1"/>
              <w:rPr>
                <w:sz w:val="15"/>
              </w:rPr>
            </w:pPr>
            <w:r>
              <w:rPr>
                <w:w w:val="95"/>
                <w:sz w:val="15"/>
              </w:rPr>
              <w:t>Head</w:t>
            </w:r>
            <w:r>
              <w:rPr>
                <w:spacing w:val="19"/>
                <w:w w:val="95"/>
                <w:sz w:val="15"/>
              </w:rPr>
              <w:t xml:space="preserve"> </w:t>
            </w:r>
            <w:r>
              <w:rPr>
                <w:w w:val="95"/>
                <w:sz w:val="15"/>
              </w:rPr>
              <w:t>of</w:t>
            </w:r>
            <w:r>
              <w:rPr>
                <w:spacing w:val="17"/>
                <w:w w:val="95"/>
                <w:sz w:val="15"/>
              </w:rPr>
              <w:t xml:space="preserve"> </w:t>
            </w:r>
            <w:r>
              <w:rPr>
                <w:w w:val="95"/>
                <w:sz w:val="15"/>
              </w:rPr>
              <w:t>communication,</w:t>
            </w:r>
            <w:r>
              <w:rPr>
                <w:spacing w:val="18"/>
                <w:w w:val="95"/>
                <w:sz w:val="15"/>
              </w:rPr>
              <w:t xml:space="preserve"> </w:t>
            </w:r>
            <w:r>
              <w:rPr>
                <w:w w:val="95"/>
                <w:sz w:val="15"/>
              </w:rPr>
              <w:t>agency</w:t>
            </w:r>
            <w:r>
              <w:rPr>
                <w:spacing w:val="19"/>
                <w:w w:val="95"/>
                <w:sz w:val="15"/>
              </w:rPr>
              <w:t xml:space="preserve"> </w:t>
            </w:r>
            <w:r>
              <w:rPr>
                <w:w w:val="95"/>
                <w:sz w:val="15"/>
              </w:rPr>
              <w:t>CEO</w:t>
            </w:r>
          </w:p>
        </w:tc>
        <w:tc>
          <w:tcPr>
            <w:tcW w:w="803" w:type="dxa"/>
          </w:tcPr>
          <w:p w14:paraId="6E01049C" w14:textId="77777777" w:rsidR="00F65DFC" w:rsidRDefault="00F65DFC" w:rsidP="007A4637">
            <w:pPr>
              <w:pStyle w:val="TableParagraph"/>
              <w:spacing w:before="8"/>
              <w:rPr>
                <w:sz w:val="19"/>
              </w:rPr>
            </w:pPr>
          </w:p>
          <w:p w14:paraId="381ABDF2" w14:textId="77777777" w:rsidR="00F65DFC" w:rsidRDefault="00F65DFC" w:rsidP="007A4637">
            <w:pPr>
              <w:pStyle w:val="TableParagraph"/>
              <w:spacing w:line="151" w:lineRule="exact"/>
              <w:ind w:left="205" w:right="205"/>
              <w:jc w:val="center"/>
              <w:rPr>
                <w:sz w:val="15"/>
              </w:rPr>
            </w:pPr>
            <w:r>
              <w:rPr>
                <w:w w:val="95"/>
                <w:sz w:val="15"/>
              </w:rPr>
              <w:t>78.27</w:t>
            </w:r>
          </w:p>
        </w:tc>
        <w:tc>
          <w:tcPr>
            <w:tcW w:w="780" w:type="dxa"/>
          </w:tcPr>
          <w:p w14:paraId="74F5CEB1" w14:textId="77777777" w:rsidR="00F65DFC" w:rsidRDefault="00F65DFC" w:rsidP="007A4637">
            <w:pPr>
              <w:pStyle w:val="TableParagraph"/>
              <w:spacing w:before="8"/>
              <w:rPr>
                <w:sz w:val="19"/>
              </w:rPr>
            </w:pPr>
          </w:p>
          <w:p w14:paraId="15075E14" w14:textId="77777777" w:rsidR="00F65DFC" w:rsidRDefault="00F65DFC" w:rsidP="007A4637">
            <w:pPr>
              <w:pStyle w:val="TableParagraph"/>
              <w:spacing w:line="151" w:lineRule="exact"/>
              <w:ind w:right="230"/>
              <w:jc w:val="right"/>
              <w:rPr>
                <w:sz w:val="15"/>
              </w:rPr>
            </w:pPr>
            <w:r>
              <w:rPr>
                <w:w w:val="95"/>
                <w:sz w:val="15"/>
              </w:rPr>
              <w:t>21.37</w:t>
            </w:r>
          </w:p>
        </w:tc>
        <w:tc>
          <w:tcPr>
            <w:tcW w:w="851" w:type="dxa"/>
          </w:tcPr>
          <w:p w14:paraId="56B0EFD1" w14:textId="77777777" w:rsidR="00F65DFC" w:rsidRDefault="00F65DFC" w:rsidP="007A4637">
            <w:pPr>
              <w:pStyle w:val="TableParagraph"/>
              <w:spacing w:before="8"/>
              <w:rPr>
                <w:sz w:val="19"/>
              </w:rPr>
            </w:pPr>
          </w:p>
          <w:p w14:paraId="5CED1ADD" w14:textId="77777777" w:rsidR="00F65DFC" w:rsidRDefault="00F65DFC" w:rsidP="007A4637">
            <w:pPr>
              <w:pStyle w:val="TableParagraph"/>
              <w:spacing w:line="151" w:lineRule="exact"/>
              <w:ind w:right="228"/>
              <w:jc w:val="right"/>
              <w:rPr>
                <w:sz w:val="15"/>
              </w:rPr>
            </w:pPr>
            <w:r>
              <w:rPr>
                <w:w w:val="95"/>
                <w:sz w:val="15"/>
              </w:rPr>
              <w:t>1.317</w:t>
            </w:r>
          </w:p>
        </w:tc>
        <w:tc>
          <w:tcPr>
            <w:tcW w:w="548" w:type="dxa"/>
          </w:tcPr>
          <w:p w14:paraId="0F2C6662" w14:textId="77777777" w:rsidR="00F65DFC" w:rsidRDefault="00F65DFC" w:rsidP="007A4637">
            <w:pPr>
              <w:pStyle w:val="TableParagraph"/>
              <w:spacing w:before="8"/>
              <w:rPr>
                <w:sz w:val="19"/>
              </w:rPr>
            </w:pPr>
          </w:p>
          <w:p w14:paraId="356065C4" w14:textId="77777777" w:rsidR="00F65DFC" w:rsidRDefault="00F65DFC" w:rsidP="007A4637">
            <w:pPr>
              <w:pStyle w:val="TableParagraph"/>
              <w:spacing w:line="151" w:lineRule="exact"/>
              <w:ind w:left="236"/>
              <w:rPr>
                <w:sz w:val="15"/>
              </w:rPr>
            </w:pPr>
            <w:r>
              <w:rPr>
                <w:w w:val="95"/>
                <w:sz w:val="15"/>
              </w:rPr>
              <w:t>0.03</w:t>
            </w:r>
          </w:p>
        </w:tc>
      </w:tr>
      <w:tr w:rsidR="00F65DFC" w14:paraId="757FA0A8" w14:textId="77777777" w:rsidTr="007A4637">
        <w:trPr>
          <w:trHeight w:val="171"/>
        </w:trPr>
        <w:tc>
          <w:tcPr>
            <w:tcW w:w="3929" w:type="dxa"/>
          </w:tcPr>
          <w:p w14:paraId="286CA417" w14:textId="77777777" w:rsidR="00F65DFC" w:rsidRDefault="00F65DFC" w:rsidP="007A4637">
            <w:pPr>
              <w:pStyle w:val="TableParagraph"/>
              <w:spacing w:line="151" w:lineRule="exact"/>
              <w:ind w:left="-1"/>
              <w:rPr>
                <w:sz w:val="15"/>
              </w:rPr>
            </w:pPr>
            <w:r>
              <w:rPr>
                <w:w w:val="95"/>
                <w:sz w:val="15"/>
              </w:rPr>
              <w:t>Responsible</w:t>
            </w:r>
            <w:r>
              <w:rPr>
                <w:spacing w:val="6"/>
                <w:w w:val="95"/>
                <w:sz w:val="15"/>
              </w:rPr>
              <w:t xml:space="preserve"> </w:t>
            </w:r>
            <w:r>
              <w:rPr>
                <w:w w:val="95"/>
                <w:sz w:val="15"/>
              </w:rPr>
              <w:t>for</w:t>
            </w:r>
            <w:r>
              <w:rPr>
                <w:spacing w:val="5"/>
                <w:w w:val="95"/>
                <w:sz w:val="15"/>
              </w:rPr>
              <w:t xml:space="preserve"> </w:t>
            </w:r>
            <w:r>
              <w:rPr>
                <w:w w:val="95"/>
                <w:sz w:val="15"/>
              </w:rPr>
              <w:t>single</w:t>
            </w:r>
            <w:r>
              <w:rPr>
                <w:spacing w:val="6"/>
                <w:w w:val="95"/>
                <w:sz w:val="15"/>
              </w:rPr>
              <w:t xml:space="preserve"> </w:t>
            </w:r>
            <w:r>
              <w:rPr>
                <w:w w:val="95"/>
                <w:sz w:val="15"/>
              </w:rPr>
              <w:t>communication</w:t>
            </w:r>
            <w:r>
              <w:rPr>
                <w:spacing w:val="5"/>
                <w:w w:val="95"/>
                <w:sz w:val="15"/>
              </w:rPr>
              <w:t xml:space="preserve"> </w:t>
            </w:r>
            <w:r>
              <w:rPr>
                <w:w w:val="95"/>
                <w:sz w:val="15"/>
              </w:rPr>
              <w:t>discipline,</w:t>
            </w:r>
            <w:r>
              <w:rPr>
                <w:spacing w:val="6"/>
                <w:w w:val="95"/>
                <w:sz w:val="15"/>
              </w:rPr>
              <w:t xml:space="preserve"> </w:t>
            </w:r>
            <w:r>
              <w:rPr>
                <w:w w:val="95"/>
                <w:sz w:val="15"/>
              </w:rPr>
              <w:t>unit</w:t>
            </w:r>
            <w:r>
              <w:rPr>
                <w:spacing w:val="7"/>
                <w:w w:val="95"/>
                <w:sz w:val="15"/>
              </w:rPr>
              <w:t xml:space="preserve"> </w:t>
            </w:r>
            <w:r>
              <w:rPr>
                <w:w w:val="95"/>
                <w:sz w:val="15"/>
              </w:rPr>
              <w:t>leader</w:t>
            </w:r>
          </w:p>
        </w:tc>
        <w:tc>
          <w:tcPr>
            <w:tcW w:w="803" w:type="dxa"/>
          </w:tcPr>
          <w:p w14:paraId="6ADFC25F" w14:textId="77777777" w:rsidR="00F65DFC" w:rsidRDefault="00F65DFC" w:rsidP="007A4637">
            <w:pPr>
              <w:pStyle w:val="TableParagraph"/>
              <w:spacing w:line="151" w:lineRule="exact"/>
              <w:ind w:left="205" w:right="205"/>
              <w:jc w:val="center"/>
              <w:rPr>
                <w:sz w:val="15"/>
              </w:rPr>
            </w:pPr>
            <w:r>
              <w:rPr>
                <w:w w:val="95"/>
                <w:sz w:val="15"/>
              </w:rPr>
              <w:t>78.60</w:t>
            </w:r>
          </w:p>
        </w:tc>
        <w:tc>
          <w:tcPr>
            <w:tcW w:w="780" w:type="dxa"/>
          </w:tcPr>
          <w:p w14:paraId="2530A34F" w14:textId="77777777" w:rsidR="00F65DFC" w:rsidRDefault="00F65DFC" w:rsidP="007A4637">
            <w:pPr>
              <w:pStyle w:val="TableParagraph"/>
              <w:spacing w:line="151" w:lineRule="exact"/>
              <w:ind w:right="230"/>
              <w:jc w:val="right"/>
              <w:rPr>
                <w:sz w:val="15"/>
              </w:rPr>
            </w:pPr>
            <w:r>
              <w:rPr>
                <w:w w:val="95"/>
                <w:sz w:val="15"/>
              </w:rPr>
              <w:t>22.09</w:t>
            </w:r>
          </w:p>
        </w:tc>
        <w:tc>
          <w:tcPr>
            <w:tcW w:w="851" w:type="dxa"/>
          </w:tcPr>
          <w:p w14:paraId="55F5DDA6" w14:textId="77777777" w:rsidR="00F65DFC" w:rsidRDefault="00F65DFC" w:rsidP="007A4637">
            <w:pPr>
              <w:pStyle w:val="TableParagraph"/>
              <w:rPr>
                <w:rFonts w:ascii="Times New Roman"/>
                <w:sz w:val="10"/>
              </w:rPr>
            </w:pPr>
          </w:p>
        </w:tc>
        <w:tc>
          <w:tcPr>
            <w:tcW w:w="548" w:type="dxa"/>
          </w:tcPr>
          <w:p w14:paraId="5444FBE0" w14:textId="77777777" w:rsidR="00F65DFC" w:rsidRDefault="00F65DFC" w:rsidP="007A4637">
            <w:pPr>
              <w:pStyle w:val="TableParagraph"/>
              <w:rPr>
                <w:rFonts w:ascii="Times New Roman"/>
                <w:sz w:val="10"/>
              </w:rPr>
            </w:pPr>
          </w:p>
        </w:tc>
      </w:tr>
      <w:tr w:rsidR="00F65DFC" w14:paraId="7AAE28AE" w14:textId="77777777" w:rsidTr="007A4637">
        <w:trPr>
          <w:trHeight w:val="230"/>
        </w:trPr>
        <w:tc>
          <w:tcPr>
            <w:tcW w:w="3929" w:type="dxa"/>
          </w:tcPr>
          <w:p w14:paraId="3C433688" w14:textId="77777777" w:rsidR="00F65DFC" w:rsidRDefault="00F65DFC" w:rsidP="007A4637">
            <w:pPr>
              <w:pStyle w:val="TableParagraph"/>
              <w:ind w:left="-1"/>
              <w:rPr>
                <w:sz w:val="15"/>
              </w:rPr>
            </w:pPr>
            <w:r>
              <w:rPr>
                <w:w w:val="95"/>
                <w:sz w:val="15"/>
              </w:rPr>
              <w:t>Team</w:t>
            </w:r>
            <w:r>
              <w:rPr>
                <w:spacing w:val="10"/>
                <w:w w:val="95"/>
                <w:sz w:val="15"/>
              </w:rPr>
              <w:t xml:space="preserve"> </w:t>
            </w:r>
            <w:r>
              <w:rPr>
                <w:w w:val="95"/>
                <w:sz w:val="15"/>
              </w:rPr>
              <w:t>member,</w:t>
            </w:r>
            <w:r>
              <w:rPr>
                <w:spacing w:val="10"/>
                <w:w w:val="95"/>
                <w:sz w:val="15"/>
              </w:rPr>
              <w:t xml:space="preserve"> </w:t>
            </w:r>
            <w:r>
              <w:rPr>
                <w:w w:val="95"/>
                <w:sz w:val="15"/>
              </w:rPr>
              <w:t>consultant</w:t>
            </w:r>
          </w:p>
        </w:tc>
        <w:tc>
          <w:tcPr>
            <w:tcW w:w="803" w:type="dxa"/>
          </w:tcPr>
          <w:p w14:paraId="798FCFA7" w14:textId="77777777" w:rsidR="00F65DFC" w:rsidRDefault="00F65DFC" w:rsidP="007A4637">
            <w:pPr>
              <w:pStyle w:val="TableParagraph"/>
              <w:ind w:left="205" w:right="205"/>
              <w:jc w:val="center"/>
              <w:rPr>
                <w:sz w:val="15"/>
              </w:rPr>
            </w:pPr>
            <w:r>
              <w:rPr>
                <w:w w:val="95"/>
                <w:sz w:val="15"/>
              </w:rPr>
              <w:t>75.44</w:t>
            </w:r>
          </w:p>
        </w:tc>
        <w:tc>
          <w:tcPr>
            <w:tcW w:w="780" w:type="dxa"/>
          </w:tcPr>
          <w:p w14:paraId="1D1E281D" w14:textId="77777777" w:rsidR="00F65DFC" w:rsidRDefault="00F65DFC" w:rsidP="007A4637">
            <w:pPr>
              <w:pStyle w:val="TableParagraph"/>
              <w:ind w:right="230"/>
              <w:jc w:val="right"/>
              <w:rPr>
                <w:sz w:val="15"/>
              </w:rPr>
            </w:pPr>
            <w:r>
              <w:rPr>
                <w:w w:val="95"/>
                <w:sz w:val="15"/>
              </w:rPr>
              <w:t>22.81</w:t>
            </w:r>
          </w:p>
        </w:tc>
        <w:tc>
          <w:tcPr>
            <w:tcW w:w="851" w:type="dxa"/>
          </w:tcPr>
          <w:p w14:paraId="28F5B07C" w14:textId="77777777" w:rsidR="00F65DFC" w:rsidRDefault="00F65DFC" w:rsidP="007A4637">
            <w:pPr>
              <w:pStyle w:val="TableParagraph"/>
              <w:rPr>
                <w:rFonts w:ascii="Times New Roman"/>
                <w:sz w:val="14"/>
              </w:rPr>
            </w:pPr>
          </w:p>
        </w:tc>
        <w:tc>
          <w:tcPr>
            <w:tcW w:w="548" w:type="dxa"/>
          </w:tcPr>
          <w:p w14:paraId="7480579D" w14:textId="77777777" w:rsidR="00F65DFC" w:rsidRDefault="00F65DFC" w:rsidP="007A4637">
            <w:pPr>
              <w:pStyle w:val="TableParagraph"/>
              <w:rPr>
                <w:rFonts w:ascii="Times New Roman"/>
                <w:sz w:val="14"/>
              </w:rPr>
            </w:pPr>
          </w:p>
        </w:tc>
      </w:tr>
      <w:tr w:rsidR="00F65DFC" w14:paraId="5E34FF3F" w14:textId="77777777" w:rsidTr="007A4637">
        <w:trPr>
          <w:trHeight w:val="403"/>
        </w:trPr>
        <w:tc>
          <w:tcPr>
            <w:tcW w:w="3929" w:type="dxa"/>
          </w:tcPr>
          <w:p w14:paraId="065B84CA" w14:textId="77777777" w:rsidR="00F65DFC" w:rsidRDefault="00F65DFC" w:rsidP="007A4637">
            <w:pPr>
              <w:pStyle w:val="TableParagraph"/>
              <w:spacing w:before="59" w:line="174" w:lineRule="exact"/>
              <w:ind w:left="-1"/>
              <w:rPr>
                <w:i/>
                <w:sz w:val="15"/>
              </w:rPr>
            </w:pPr>
            <w:r>
              <w:rPr>
                <w:i/>
                <w:sz w:val="15"/>
              </w:rPr>
              <w:t>Education</w:t>
            </w:r>
          </w:p>
          <w:p w14:paraId="0001EA51" w14:textId="77777777" w:rsidR="00F65DFC" w:rsidRDefault="00F65DFC" w:rsidP="007A4637">
            <w:pPr>
              <w:pStyle w:val="TableParagraph"/>
              <w:spacing w:line="150" w:lineRule="exact"/>
              <w:ind w:left="-1"/>
              <w:rPr>
                <w:sz w:val="15"/>
              </w:rPr>
            </w:pPr>
            <w:r>
              <w:rPr>
                <w:w w:val="95"/>
                <w:sz w:val="15"/>
              </w:rPr>
              <w:t>No</w:t>
            </w:r>
            <w:r>
              <w:rPr>
                <w:spacing w:val="8"/>
                <w:w w:val="95"/>
                <w:sz w:val="15"/>
              </w:rPr>
              <w:t xml:space="preserve"> </w:t>
            </w:r>
            <w:r>
              <w:rPr>
                <w:w w:val="95"/>
                <w:sz w:val="15"/>
              </w:rPr>
              <w:t>university</w:t>
            </w:r>
            <w:r>
              <w:rPr>
                <w:spacing w:val="9"/>
                <w:w w:val="95"/>
                <w:sz w:val="15"/>
              </w:rPr>
              <w:t xml:space="preserve"> </w:t>
            </w:r>
            <w:r>
              <w:rPr>
                <w:w w:val="95"/>
                <w:sz w:val="15"/>
              </w:rPr>
              <w:t>degree</w:t>
            </w:r>
          </w:p>
        </w:tc>
        <w:tc>
          <w:tcPr>
            <w:tcW w:w="803" w:type="dxa"/>
          </w:tcPr>
          <w:p w14:paraId="6486C9FD" w14:textId="77777777" w:rsidR="00F65DFC" w:rsidRDefault="00F65DFC" w:rsidP="007A4637">
            <w:pPr>
              <w:pStyle w:val="TableParagraph"/>
              <w:spacing w:before="8"/>
              <w:rPr>
                <w:sz w:val="19"/>
              </w:rPr>
            </w:pPr>
          </w:p>
          <w:p w14:paraId="21FFE154" w14:textId="77777777" w:rsidR="00F65DFC" w:rsidRDefault="00F65DFC" w:rsidP="007A4637">
            <w:pPr>
              <w:pStyle w:val="TableParagraph"/>
              <w:spacing w:before="1" w:line="151" w:lineRule="exact"/>
              <w:ind w:left="205" w:right="205"/>
              <w:jc w:val="center"/>
              <w:rPr>
                <w:sz w:val="15"/>
              </w:rPr>
            </w:pPr>
            <w:r>
              <w:rPr>
                <w:w w:val="95"/>
                <w:sz w:val="15"/>
              </w:rPr>
              <w:t>75.28</w:t>
            </w:r>
          </w:p>
        </w:tc>
        <w:tc>
          <w:tcPr>
            <w:tcW w:w="780" w:type="dxa"/>
          </w:tcPr>
          <w:p w14:paraId="707422DD" w14:textId="77777777" w:rsidR="00F65DFC" w:rsidRDefault="00F65DFC" w:rsidP="007A4637">
            <w:pPr>
              <w:pStyle w:val="TableParagraph"/>
              <w:spacing w:before="8"/>
              <w:rPr>
                <w:sz w:val="19"/>
              </w:rPr>
            </w:pPr>
          </w:p>
          <w:p w14:paraId="326A5FD6" w14:textId="77777777" w:rsidR="00F65DFC" w:rsidRDefault="00F65DFC" w:rsidP="007A4637">
            <w:pPr>
              <w:pStyle w:val="TableParagraph"/>
              <w:spacing w:before="1" w:line="151" w:lineRule="exact"/>
              <w:ind w:right="230"/>
              <w:jc w:val="right"/>
              <w:rPr>
                <w:sz w:val="15"/>
              </w:rPr>
            </w:pPr>
            <w:r>
              <w:rPr>
                <w:w w:val="95"/>
                <w:sz w:val="15"/>
              </w:rPr>
              <w:t>22.43</w:t>
            </w:r>
          </w:p>
        </w:tc>
        <w:tc>
          <w:tcPr>
            <w:tcW w:w="851" w:type="dxa"/>
          </w:tcPr>
          <w:p w14:paraId="35EB6FC8" w14:textId="77777777" w:rsidR="00F65DFC" w:rsidRDefault="00F65DFC" w:rsidP="007A4637">
            <w:pPr>
              <w:pStyle w:val="TableParagraph"/>
              <w:spacing w:before="8"/>
              <w:rPr>
                <w:sz w:val="19"/>
              </w:rPr>
            </w:pPr>
          </w:p>
          <w:p w14:paraId="242C19BC" w14:textId="77777777" w:rsidR="00F65DFC" w:rsidRDefault="00F65DFC" w:rsidP="007A4637">
            <w:pPr>
              <w:pStyle w:val="TableParagraph"/>
              <w:spacing w:before="1" w:line="151" w:lineRule="exact"/>
              <w:ind w:right="228"/>
              <w:jc w:val="right"/>
              <w:rPr>
                <w:sz w:val="15"/>
              </w:rPr>
            </w:pPr>
            <w:r>
              <w:rPr>
                <w:w w:val="95"/>
                <w:sz w:val="15"/>
              </w:rPr>
              <w:t>1.212</w:t>
            </w:r>
          </w:p>
        </w:tc>
        <w:tc>
          <w:tcPr>
            <w:tcW w:w="548" w:type="dxa"/>
          </w:tcPr>
          <w:p w14:paraId="4AE3FF1D" w14:textId="77777777" w:rsidR="00F65DFC" w:rsidRDefault="00F65DFC" w:rsidP="007A4637">
            <w:pPr>
              <w:pStyle w:val="TableParagraph"/>
              <w:spacing w:before="8"/>
              <w:rPr>
                <w:sz w:val="19"/>
              </w:rPr>
            </w:pPr>
          </w:p>
          <w:p w14:paraId="27BECFC2" w14:textId="77777777" w:rsidR="00F65DFC" w:rsidRDefault="00F65DFC" w:rsidP="007A4637">
            <w:pPr>
              <w:pStyle w:val="TableParagraph"/>
              <w:spacing w:before="1" w:line="151" w:lineRule="exact"/>
              <w:ind w:right="-15"/>
              <w:jc w:val="right"/>
              <w:rPr>
                <w:sz w:val="15"/>
              </w:rPr>
            </w:pPr>
            <w:r>
              <w:rPr>
                <w:w w:val="95"/>
                <w:sz w:val="15"/>
              </w:rPr>
              <w:t>0.091</w:t>
            </w:r>
          </w:p>
        </w:tc>
      </w:tr>
      <w:tr w:rsidR="00F65DFC" w14:paraId="12D8A533" w14:textId="77777777" w:rsidTr="007A4637">
        <w:trPr>
          <w:trHeight w:val="171"/>
        </w:trPr>
        <w:tc>
          <w:tcPr>
            <w:tcW w:w="3929" w:type="dxa"/>
          </w:tcPr>
          <w:p w14:paraId="3230EF73" w14:textId="77777777" w:rsidR="00F65DFC" w:rsidRDefault="00F65DFC" w:rsidP="007A4637">
            <w:pPr>
              <w:pStyle w:val="TableParagraph"/>
              <w:spacing w:line="151" w:lineRule="exact"/>
              <w:ind w:left="-1"/>
              <w:rPr>
                <w:sz w:val="15"/>
              </w:rPr>
            </w:pPr>
            <w:r>
              <w:rPr>
                <w:w w:val="90"/>
                <w:sz w:val="15"/>
              </w:rPr>
              <w:t>Bachelor</w:t>
            </w:r>
            <w:r>
              <w:rPr>
                <w:rFonts w:ascii="Lucida Sans Unicode" w:hAnsi="Lucida Sans Unicode"/>
                <w:w w:val="90"/>
                <w:sz w:val="15"/>
              </w:rPr>
              <w:t>’</w:t>
            </w:r>
            <w:r>
              <w:rPr>
                <w:w w:val="90"/>
                <w:sz w:val="15"/>
              </w:rPr>
              <w:t>s</w:t>
            </w:r>
            <w:r>
              <w:rPr>
                <w:spacing w:val="24"/>
                <w:w w:val="90"/>
                <w:sz w:val="15"/>
              </w:rPr>
              <w:t xml:space="preserve"> </w:t>
            </w:r>
            <w:r>
              <w:rPr>
                <w:w w:val="90"/>
                <w:sz w:val="15"/>
              </w:rPr>
              <w:t>degree</w:t>
            </w:r>
          </w:p>
        </w:tc>
        <w:tc>
          <w:tcPr>
            <w:tcW w:w="803" w:type="dxa"/>
          </w:tcPr>
          <w:p w14:paraId="1A5EE745" w14:textId="77777777" w:rsidR="00F65DFC" w:rsidRDefault="00F65DFC" w:rsidP="007A4637">
            <w:pPr>
              <w:pStyle w:val="TableParagraph"/>
              <w:spacing w:line="151" w:lineRule="exact"/>
              <w:ind w:left="205" w:right="205"/>
              <w:jc w:val="center"/>
              <w:rPr>
                <w:sz w:val="15"/>
              </w:rPr>
            </w:pPr>
            <w:r>
              <w:rPr>
                <w:w w:val="95"/>
                <w:sz w:val="15"/>
              </w:rPr>
              <w:t>76.64</w:t>
            </w:r>
          </w:p>
        </w:tc>
        <w:tc>
          <w:tcPr>
            <w:tcW w:w="780" w:type="dxa"/>
          </w:tcPr>
          <w:p w14:paraId="45DB0966" w14:textId="77777777" w:rsidR="00F65DFC" w:rsidRDefault="00F65DFC" w:rsidP="007A4637">
            <w:pPr>
              <w:pStyle w:val="TableParagraph"/>
              <w:spacing w:line="151" w:lineRule="exact"/>
              <w:ind w:right="230"/>
              <w:jc w:val="right"/>
              <w:rPr>
                <w:sz w:val="15"/>
              </w:rPr>
            </w:pPr>
            <w:r>
              <w:rPr>
                <w:w w:val="95"/>
                <w:sz w:val="15"/>
              </w:rPr>
              <w:t>22.87</w:t>
            </w:r>
          </w:p>
        </w:tc>
        <w:tc>
          <w:tcPr>
            <w:tcW w:w="851" w:type="dxa"/>
          </w:tcPr>
          <w:p w14:paraId="7F0464E5" w14:textId="77777777" w:rsidR="00F65DFC" w:rsidRDefault="00F65DFC" w:rsidP="007A4637">
            <w:pPr>
              <w:pStyle w:val="TableParagraph"/>
              <w:rPr>
                <w:rFonts w:ascii="Times New Roman"/>
                <w:sz w:val="10"/>
              </w:rPr>
            </w:pPr>
          </w:p>
        </w:tc>
        <w:tc>
          <w:tcPr>
            <w:tcW w:w="548" w:type="dxa"/>
          </w:tcPr>
          <w:p w14:paraId="669F9309" w14:textId="77777777" w:rsidR="00F65DFC" w:rsidRDefault="00F65DFC" w:rsidP="007A4637">
            <w:pPr>
              <w:pStyle w:val="TableParagraph"/>
              <w:rPr>
                <w:rFonts w:ascii="Times New Roman"/>
                <w:sz w:val="10"/>
              </w:rPr>
            </w:pPr>
          </w:p>
        </w:tc>
      </w:tr>
      <w:tr w:rsidR="00F65DFC" w14:paraId="08BBEBFE" w14:textId="77777777" w:rsidTr="007A4637">
        <w:trPr>
          <w:trHeight w:val="171"/>
        </w:trPr>
        <w:tc>
          <w:tcPr>
            <w:tcW w:w="3929" w:type="dxa"/>
          </w:tcPr>
          <w:p w14:paraId="1C4662B5" w14:textId="77777777" w:rsidR="00F65DFC" w:rsidRDefault="00F65DFC" w:rsidP="007A4637">
            <w:pPr>
              <w:pStyle w:val="TableParagraph"/>
              <w:spacing w:line="151" w:lineRule="exact"/>
              <w:ind w:left="-1"/>
              <w:rPr>
                <w:sz w:val="15"/>
              </w:rPr>
            </w:pPr>
            <w:r>
              <w:rPr>
                <w:w w:val="95"/>
                <w:sz w:val="15"/>
              </w:rPr>
              <w:t>Master</w:t>
            </w:r>
            <w:r>
              <w:rPr>
                <w:rFonts w:ascii="Lucida Sans Unicode" w:hAnsi="Lucida Sans Unicode"/>
                <w:w w:val="95"/>
                <w:sz w:val="15"/>
              </w:rPr>
              <w:t>’</w:t>
            </w:r>
            <w:r>
              <w:rPr>
                <w:w w:val="95"/>
                <w:sz w:val="15"/>
              </w:rPr>
              <w:t>s</w:t>
            </w:r>
            <w:r>
              <w:rPr>
                <w:spacing w:val="-1"/>
                <w:w w:val="95"/>
                <w:sz w:val="15"/>
              </w:rPr>
              <w:t xml:space="preserve"> </w:t>
            </w:r>
            <w:r>
              <w:rPr>
                <w:w w:val="95"/>
                <w:sz w:val="15"/>
              </w:rPr>
              <w:t>degree</w:t>
            </w:r>
          </w:p>
        </w:tc>
        <w:tc>
          <w:tcPr>
            <w:tcW w:w="803" w:type="dxa"/>
          </w:tcPr>
          <w:p w14:paraId="534570AD" w14:textId="77777777" w:rsidR="00F65DFC" w:rsidRDefault="00F65DFC" w:rsidP="007A4637">
            <w:pPr>
              <w:pStyle w:val="TableParagraph"/>
              <w:spacing w:line="151" w:lineRule="exact"/>
              <w:ind w:left="205" w:right="205"/>
              <w:jc w:val="center"/>
              <w:rPr>
                <w:sz w:val="15"/>
              </w:rPr>
            </w:pPr>
            <w:r>
              <w:rPr>
                <w:w w:val="95"/>
                <w:sz w:val="15"/>
              </w:rPr>
              <w:t>77.54</w:t>
            </w:r>
          </w:p>
        </w:tc>
        <w:tc>
          <w:tcPr>
            <w:tcW w:w="780" w:type="dxa"/>
          </w:tcPr>
          <w:p w14:paraId="2A007C28" w14:textId="77777777" w:rsidR="00F65DFC" w:rsidRDefault="00F65DFC" w:rsidP="007A4637">
            <w:pPr>
              <w:pStyle w:val="TableParagraph"/>
              <w:spacing w:line="151" w:lineRule="exact"/>
              <w:ind w:right="230"/>
              <w:jc w:val="right"/>
              <w:rPr>
                <w:sz w:val="15"/>
              </w:rPr>
            </w:pPr>
            <w:r>
              <w:rPr>
                <w:w w:val="95"/>
                <w:sz w:val="15"/>
              </w:rPr>
              <w:t>21.90</w:t>
            </w:r>
          </w:p>
        </w:tc>
        <w:tc>
          <w:tcPr>
            <w:tcW w:w="851" w:type="dxa"/>
          </w:tcPr>
          <w:p w14:paraId="6FA7E62A" w14:textId="77777777" w:rsidR="00F65DFC" w:rsidRDefault="00F65DFC" w:rsidP="007A4637">
            <w:pPr>
              <w:pStyle w:val="TableParagraph"/>
              <w:rPr>
                <w:rFonts w:ascii="Times New Roman"/>
                <w:sz w:val="10"/>
              </w:rPr>
            </w:pPr>
          </w:p>
        </w:tc>
        <w:tc>
          <w:tcPr>
            <w:tcW w:w="548" w:type="dxa"/>
          </w:tcPr>
          <w:p w14:paraId="1735DF15" w14:textId="77777777" w:rsidR="00F65DFC" w:rsidRDefault="00F65DFC" w:rsidP="007A4637">
            <w:pPr>
              <w:pStyle w:val="TableParagraph"/>
              <w:rPr>
                <w:rFonts w:ascii="Times New Roman"/>
                <w:sz w:val="10"/>
              </w:rPr>
            </w:pPr>
          </w:p>
        </w:tc>
      </w:tr>
      <w:tr w:rsidR="00F65DFC" w14:paraId="743797C6" w14:textId="77777777" w:rsidTr="007A4637">
        <w:trPr>
          <w:trHeight w:val="231"/>
        </w:trPr>
        <w:tc>
          <w:tcPr>
            <w:tcW w:w="3929" w:type="dxa"/>
          </w:tcPr>
          <w:p w14:paraId="2C592E11" w14:textId="77777777" w:rsidR="00F65DFC" w:rsidRDefault="00F65DFC" w:rsidP="007A4637">
            <w:pPr>
              <w:pStyle w:val="TableParagraph"/>
              <w:ind w:left="-1"/>
              <w:rPr>
                <w:sz w:val="15"/>
              </w:rPr>
            </w:pPr>
            <w:r>
              <w:rPr>
                <w:w w:val="95"/>
                <w:sz w:val="15"/>
              </w:rPr>
              <w:t>Doctorate</w:t>
            </w:r>
            <w:r>
              <w:rPr>
                <w:spacing w:val="4"/>
                <w:w w:val="95"/>
                <w:sz w:val="15"/>
              </w:rPr>
              <w:t xml:space="preserve"> </w:t>
            </w:r>
            <w:r>
              <w:rPr>
                <w:w w:val="95"/>
                <w:sz w:val="15"/>
              </w:rPr>
              <w:t>(PhD,</w:t>
            </w:r>
            <w:r>
              <w:rPr>
                <w:spacing w:val="4"/>
                <w:w w:val="95"/>
                <w:sz w:val="15"/>
              </w:rPr>
              <w:t xml:space="preserve"> </w:t>
            </w:r>
            <w:r>
              <w:rPr>
                <w:w w:val="95"/>
                <w:sz w:val="15"/>
              </w:rPr>
              <w:t>Dr)</w:t>
            </w:r>
          </w:p>
        </w:tc>
        <w:tc>
          <w:tcPr>
            <w:tcW w:w="803" w:type="dxa"/>
          </w:tcPr>
          <w:p w14:paraId="7448FDE4" w14:textId="77777777" w:rsidR="00F65DFC" w:rsidRDefault="00F65DFC" w:rsidP="007A4637">
            <w:pPr>
              <w:pStyle w:val="TableParagraph"/>
              <w:ind w:left="205" w:right="205"/>
              <w:jc w:val="center"/>
              <w:rPr>
                <w:sz w:val="15"/>
              </w:rPr>
            </w:pPr>
            <w:r>
              <w:rPr>
                <w:w w:val="95"/>
                <w:sz w:val="15"/>
              </w:rPr>
              <w:t>77.06</w:t>
            </w:r>
          </w:p>
        </w:tc>
        <w:tc>
          <w:tcPr>
            <w:tcW w:w="780" w:type="dxa"/>
          </w:tcPr>
          <w:p w14:paraId="2F410B1E" w14:textId="77777777" w:rsidR="00F65DFC" w:rsidRDefault="00F65DFC" w:rsidP="007A4637">
            <w:pPr>
              <w:pStyle w:val="TableParagraph"/>
              <w:ind w:right="230"/>
              <w:jc w:val="right"/>
              <w:rPr>
                <w:sz w:val="15"/>
              </w:rPr>
            </w:pPr>
            <w:r>
              <w:rPr>
                <w:w w:val="95"/>
                <w:sz w:val="15"/>
              </w:rPr>
              <w:t>21.50</w:t>
            </w:r>
          </w:p>
        </w:tc>
        <w:tc>
          <w:tcPr>
            <w:tcW w:w="851" w:type="dxa"/>
          </w:tcPr>
          <w:p w14:paraId="6D5437F7" w14:textId="77777777" w:rsidR="00F65DFC" w:rsidRDefault="00F65DFC" w:rsidP="007A4637">
            <w:pPr>
              <w:pStyle w:val="TableParagraph"/>
              <w:rPr>
                <w:rFonts w:ascii="Times New Roman"/>
                <w:sz w:val="14"/>
              </w:rPr>
            </w:pPr>
          </w:p>
        </w:tc>
        <w:tc>
          <w:tcPr>
            <w:tcW w:w="548" w:type="dxa"/>
          </w:tcPr>
          <w:p w14:paraId="52F3F62A" w14:textId="77777777" w:rsidR="00F65DFC" w:rsidRDefault="00F65DFC" w:rsidP="007A4637">
            <w:pPr>
              <w:pStyle w:val="TableParagraph"/>
              <w:rPr>
                <w:rFonts w:ascii="Times New Roman"/>
                <w:sz w:val="14"/>
              </w:rPr>
            </w:pPr>
          </w:p>
        </w:tc>
      </w:tr>
      <w:tr w:rsidR="00F65DFC" w14:paraId="7604557A" w14:textId="77777777" w:rsidTr="007A4637">
        <w:trPr>
          <w:trHeight w:val="402"/>
        </w:trPr>
        <w:tc>
          <w:tcPr>
            <w:tcW w:w="3929" w:type="dxa"/>
          </w:tcPr>
          <w:p w14:paraId="13C68410" w14:textId="77777777" w:rsidR="00F65DFC" w:rsidRDefault="00F65DFC" w:rsidP="007A4637">
            <w:pPr>
              <w:pStyle w:val="TableParagraph"/>
              <w:spacing w:before="60" w:line="174" w:lineRule="exact"/>
              <w:ind w:left="-1"/>
              <w:rPr>
                <w:i/>
                <w:sz w:val="15"/>
              </w:rPr>
            </w:pPr>
            <w:r>
              <w:rPr>
                <w:i/>
                <w:sz w:val="15"/>
              </w:rPr>
              <w:t>Excellence</w:t>
            </w:r>
          </w:p>
          <w:p w14:paraId="41C51A7A" w14:textId="77777777" w:rsidR="00F65DFC" w:rsidRDefault="00F65DFC" w:rsidP="007A4637">
            <w:pPr>
              <w:pStyle w:val="TableParagraph"/>
              <w:spacing w:line="149" w:lineRule="exact"/>
              <w:ind w:left="-1"/>
              <w:rPr>
                <w:sz w:val="15"/>
              </w:rPr>
            </w:pPr>
            <w:r>
              <w:rPr>
                <w:w w:val="95"/>
                <w:sz w:val="15"/>
              </w:rPr>
              <w:t>Working</w:t>
            </w:r>
            <w:r>
              <w:rPr>
                <w:spacing w:val="8"/>
                <w:w w:val="95"/>
                <w:sz w:val="15"/>
              </w:rPr>
              <w:t xml:space="preserve"> </w:t>
            </w:r>
            <w:r>
              <w:rPr>
                <w:w w:val="95"/>
                <w:sz w:val="15"/>
              </w:rPr>
              <w:t>in</w:t>
            </w:r>
            <w:r>
              <w:rPr>
                <w:spacing w:val="7"/>
                <w:w w:val="95"/>
                <w:sz w:val="15"/>
              </w:rPr>
              <w:t xml:space="preserve"> </w:t>
            </w:r>
            <w:r>
              <w:rPr>
                <w:w w:val="95"/>
                <w:sz w:val="15"/>
              </w:rPr>
              <w:t>excellent</w:t>
            </w:r>
            <w:r>
              <w:rPr>
                <w:spacing w:val="7"/>
                <w:w w:val="95"/>
                <w:sz w:val="15"/>
              </w:rPr>
              <w:t xml:space="preserve"> </w:t>
            </w:r>
            <w:r>
              <w:rPr>
                <w:w w:val="95"/>
                <w:sz w:val="15"/>
              </w:rPr>
              <w:t>communication</w:t>
            </w:r>
            <w:r>
              <w:rPr>
                <w:spacing w:val="8"/>
                <w:w w:val="95"/>
                <w:sz w:val="15"/>
              </w:rPr>
              <w:t xml:space="preserve"> </w:t>
            </w:r>
            <w:r>
              <w:rPr>
                <w:w w:val="95"/>
                <w:sz w:val="15"/>
              </w:rPr>
              <w:t>departments</w:t>
            </w:r>
          </w:p>
        </w:tc>
        <w:tc>
          <w:tcPr>
            <w:tcW w:w="803" w:type="dxa"/>
          </w:tcPr>
          <w:p w14:paraId="41958ACB" w14:textId="77777777" w:rsidR="00F65DFC" w:rsidRDefault="00F65DFC" w:rsidP="007A4637">
            <w:pPr>
              <w:pStyle w:val="TableParagraph"/>
              <w:spacing w:before="8"/>
              <w:rPr>
                <w:sz w:val="19"/>
              </w:rPr>
            </w:pPr>
          </w:p>
          <w:p w14:paraId="20FA6ABC" w14:textId="77777777" w:rsidR="00F65DFC" w:rsidRDefault="00F65DFC" w:rsidP="007A4637">
            <w:pPr>
              <w:pStyle w:val="TableParagraph"/>
              <w:spacing w:line="151" w:lineRule="exact"/>
              <w:ind w:left="205" w:right="205"/>
              <w:jc w:val="center"/>
              <w:rPr>
                <w:sz w:val="15"/>
              </w:rPr>
            </w:pPr>
            <w:r>
              <w:rPr>
                <w:w w:val="95"/>
                <w:sz w:val="15"/>
              </w:rPr>
              <w:t>82.08</w:t>
            </w:r>
          </w:p>
        </w:tc>
        <w:tc>
          <w:tcPr>
            <w:tcW w:w="780" w:type="dxa"/>
          </w:tcPr>
          <w:p w14:paraId="41DD71BC" w14:textId="77777777" w:rsidR="00F65DFC" w:rsidRDefault="00F65DFC" w:rsidP="007A4637">
            <w:pPr>
              <w:pStyle w:val="TableParagraph"/>
              <w:spacing w:before="8"/>
              <w:rPr>
                <w:sz w:val="19"/>
              </w:rPr>
            </w:pPr>
          </w:p>
          <w:p w14:paraId="6760FF0E" w14:textId="77777777" w:rsidR="00F65DFC" w:rsidRDefault="00F65DFC" w:rsidP="007A4637">
            <w:pPr>
              <w:pStyle w:val="TableParagraph"/>
              <w:spacing w:line="151" w:lineRule="exact"/>
              <w:ind w:right="230"/>
              <w:jc w:val="right"/>
              <w:rPr>
                <w:sz w:val="15"/>
              </w:rPr>
            </w:pPr>
            <w:r>
              <w:rPr>
                <w:w w:val="95"/>
                <w:sz w:val="15"/>
              </w:rPr>
              <w:t>22.57</w:t>
            </w:r>
          </w:p>
        </w:tc>
        <w:tc>
          <w:tcPr>
            <w:tcW w:w="851" w:type="dxa"/>
          </w:tcPr>
          <w:p w14:paraId="0F259A0D" w14:textId="77777777" w:rsidR="00F65DFC" w:rsidRDefault="00F65DFC" w:rsidP="007A4637">
            <w:pPr>
              <w:pStyle w:val="TableParagraph"/>
              <w:spacing w:before="8"/>
              <w:rPr>
                <w:sz w:val="19"/>
              </w:rPr>
            </w:pPr>
          </w:p>
          <w:p w14:paraId="30938FA8" w14:textId="77777777" w:rsidR="00F65DFC" w:rsidRDefault="00F65DFC" w:rsidP="007A4637">
            <w:pPr>
              <w:pStyle w:val="TableParagraph"/>
              <w:spacing w:line="151" w:lineRule="exact"/>
              <w:ind w:right="229"/>
              <w:jc w:val="right"/>
              <w:rPr>
                <w:sz w:val="15"/>
              </w:rPr>
            </w:pPr>
            <w:r>
              <w:rPr>
                <w:w w:val="95"/>
                <w:sz w:val="15"/>
              </w:rPr>
              <w:t>31.732</w:t>
            </w:r>
          </w:p>
        </w:tc>
        <w:tc>
          <w:tcPr>
            <w:tcW w:w="548" w:type="dxa"/>
          </w:tcPr>
          <w:p w14:paraId="27FAFCF2" w14:textId="77777777" w:rsidR="00F65DFC" w:rsidRDefault="00F65DFC" w:rsidP="007A4637">
            <w:pPr>
              <w:pStyle w:val="TableParagraph"/>
              <w:spacing w:before="8"/>
              <w:rPr>
                <w:sz w:val="19"/>
              </w:rPr>
            </w:pPr>
          </w:p>
          <w:p w14:paraId="62C68C61" w14:textId="77777777" w:rsidR="00F65DFC" w:rsidRDefault="00F65DFC" w:rsidP="007A4637">
            <w:pPr>
              <w:pStyle w:val="TableParagraph"/>
              <w:spacing w:line="151" w:lineRule="exact"/>
              <w:ind w:left="236"/>
              <w:rPr>
                <w:sz w:val="15"/>
              </w:rPr>
            </w:pPr>
            <w:r>
              <w:rPr>
                <w:w w:val="95"/>
                <w:sz w:val="15"/>
              </w:rPr>
              <w:t>0.84</w:t>
            </w:r>
          </w:p>
        </w:tc>
      </w:tr>
      <w:tr w:rsidR="00F65DFC" w14:paraId="22BEB6C1" w14:textId="77777777" w:rsidTr="007A4637">
        <w:trPr>
          <w:trHeight w:val="230"/>
        </w:trPr>
        <w:tc>
          <w:tcPr>
            <w:tcW w:w="3929" w:type="dxa"/>
          </w:tcPr>
          <w:p w14:paraId="1F502D45" w14:textId="77777777" w:rsidR="00F65DFC" w:rsidRDefault="00F65DFC" w:rsidP="007A4637">
            <w:pPr>
              <w:pStyle w:val="TableParagraph"/>
              <w:ind w:left="-1"/>
              <w:rPr>
                <w:sz w:val="15"/>
              </w:rPr>
            </w:pPr>
            <w:r>
              <w:rPr>
                <w:w w:val="95"/>
                <w:sz w:val="15"/>
              </w:rPr>
              <w:t>Working</w:t>
            </w:r>
            <w:r>
              <w:rPr>
                <w:spacing w:val="5"/>
                <w:w w:val="95"/>
                <w:sz w:val="15"/>
              </w:rPr>
              <w:t xml:space="preserve"> </w:t>
            </w:r>
            <w:r>
              <w:rPr>
                <w:w w:val="95"/>
                <w:sz w:val="15"/>
              </w:rPr>
              <w:t>in</w:t>
            </w:r>
            <w:r>
              <w:rPr>
                <w:spacing w:val="4"/>
                <w:w w:val="95"/>
                <w:sz w:val="15"/>
              </w:rPr>
              <w:t xml:space="preserve"> </w:t>
            </w:r>
            <w:r>
              <w:rPr>
                <w:w w:val="95"/>
                <w:sz w:val="15"/>
              </w:rPr>
              <w:t>non-excellent</w:t>
            </w:r>
            <w:r>
              <w:rPr>
                <w:spacing w:val="4"/>
                <w:w w:val="95"/>
                <w:sz w:val="15"/>
              </w:rPr>
              <w:t xml:space="preserve"> </w:t>
            </w:r>
            <w:r>
              <w:rPr>
                <w:w w:val="95"/>
                <w:sz w:val="15"/>
              </w:rPr>
              <w:t>communication</w:t>
            </w:r>
            <w:r>
              <w:rPr>
                <w:spacing w:val="4"/>
                <w:w w:val="95"/>
                <w:sz w:val="15"/>
              </w:rPr>
              <w:t xml:space="preserve"> </w:t>
            </w:r>
            <w:r>
              <w:rPr>
                <w:w w:val="95"/>
                <w:sz w:val="15"/>
              </w:rPr>
              <w:t>departments</w:t>
            </w:r>
          </w:p>
        </w:tc>
        <w:tc>
          <w:tcPr>
            <w:tcW w:w="803" w:type="dxa"/>
          </w:tcPr>
          <w:p w14:paraId="61E584F5" w14:textId="77777777" w:rsidR="00F65DFC" w:rsidRDefault="00F65DFC" w:rsidP="007A4637">
            <w:pPr>
              <w:pStyle w:val="TableParagraph"/>
              <w:ind w:left="205" w:right="205"/>
              <w:jc w:val="center"/>
              <w:rPr>
                <w:sz w:val="15"/>
              </w:rPr>
            </w:pPr>
            <w:r>
              <w:rPr>
                <w:w w:val="95"/>
                <w:sz w:val="15"/>
              </w:rPr>
              <w:t>76.26</w:t>
            </w:r>
          </w:p>
        </w:tc>
        <w:tc>
          <w:tcPr>
            <w:tcW w:w="780" w:type="dxa"/>
          </w:tcPr>
          <w:p w14:paraId="3D2AA37D" w14:textId="77777777" w:rsidR="00F65DFC" w:rsidRDefault="00F65DFC" w:rsidP="007A4637">
            <w:pPr>
              <w:pStyle w:val="TableParagraph"/>
              <w:ind w:right="230"/>
              <w:jc w:val="right"/>
              <w:rPr>
                <w:sz w:val="15"/>
              </w:rPr>
            </w:pPr>
            <w:r>
              <w:rPr>
                <w:w w:val="95"/>
                <w:sz w:val="15"/>
              </w:rPr>
              <w:t>22.17</w:t>
            </w:r>
          </w:p>
        </w:tc>
        <w:tc>
          <w:tcPr>
            <w:tcW w:w="851" w:type="dxa"/>
          </w:tcPr>
          <w:p w14:paraId="27CECF40" w14:textId="77777777" w:rsidR="00F65DFC" w:rsidRDefault="00F65DFC" w:rsidP="007A4637">
            <w:pPr>
              <w:pStyle w:val="TableParagraph"/>
              <w:rPr>
                <w:rFonts w:ascii="Times New Roman"/>
                <w:sz w:val="14"/>
              </w:rPr>
            </w:pPr>
          </w:p>
        </w:tc>
        <w:tc>
          <w:tcPr>
            <w:tcW w:w="548" w:type="dxa"/>
          </w:tcPr>
          <w:p w14:paraId="43F17FC0" w14:textId="77777777" w:rsidR="00F65DFC" w:rsidRDefault="00F65DFC" w:rsidP="007A4637">
            <w:pPr>
              <w:pStyle w:val="TableParagraph"/>
              <w:rPr>
                <w:rFonts w:ascii="Times New Roman"/>
                <w:sz w:val="14"/>
              </w:rPr>
            </w:pPr>
          </w:p>
        </w:tc>
      </w:tr>
      <w:tr w:rsidR="00F65DFC" w14:paraId="2B0E0B1C" w14:textId="77777777" w:rsidTr="007A4637">
        <w:trPr>
          <w:trHeight w:val="403"/>
        </w:trPr>
        <w:tc>
          <w:tcPr>
            <w:tcW w:w="3929" w:type="dxa"/>
          </w:tcPr>
          <w:p w14:paraId="0975C0F7" w14:textId="77777777" w:rsidR="00F65DFC" w:rsidRDefault="00F65DFC" w:rsidP="007A4637">
            <w:pPr>
              <w:pStyle w:val="TableParagraph"/>
              <w:spacing w:before="59" w:line="174" w:lineRule="exact"/>
              <w:ind w:left="-1"/>
              <w:rPr>
                <w:i/>
                <w:sz w:val="15"/>
              </w:rPr>
            </w:pPr>
            <w:r>
              <w:rPr>
                <w:i/>
                <w:sz w:val="15"/>
              </w:rPr>
              <w:t>Influence</w:t>
            </w:r>
          </w:p>
          <w:p w14:paraId="057875B6" w14:textId="77777777" w:rsidR="00F65DFC" w:rsidRDefault="00F65DFC" w:rsidP="007A4637">
            <w:pPr>
              <w:pStyle w:val="TableParagraph"/>
              <w:spacing w:line="150" w:lineRule="exact"/>
              <w:ind w:left="-1"/>
              <w:rPr>
                <w:sz w:val="15"/>
              </w:rPr>
            </w:pPr>
            <w:r>
              <w:rPr>
                <w:w w:val="95"/>
                <w:sz w:val="15"/>
              </w:rPr>
              <w:t>Influence</w:t>
            </w:r>
            <w:r>
              <w:rPr>
                <w:spacing w:val="5"/>
                <w:w w:val="95"/>
                <w:sz w:val="15"/>
              </w:rPr>
              <w:t xml:space="preserve"> </w:t>
            </w:r>
            <w:r>
              <w:rPr>
                <w:w w:val="95"/>
                <w:sz w:val="15"/>
              </w:rPr>
              <w:t>in</w:t>
            </w:r>
            <w:r>
              <w:rPr>
                <w:spacing w:val="7"/>
                <w:w w:val="95"/>
                <w:sz w:val="15"/>
              </w:rPr>
              <w:t xml:space="preserve"> </w:t>
            </w:r>
            <w:r>
              <w:rPr>
                <w:w w:val="95"/>
                <w:sz w:val="15"/>
              </w:rPr>
              <w:t>the</w:t>
            </w:r>
            <w:r>
              <w:rPr>
                <w:spacing w:val="6"/>
                <w:w w:val="95"/>
                <w:sz w:val="15"/>
              </w:rPr>
              <w:t xml:space="preserve"> </w:t>
            </w:r>
            <w:r>
              <w:rPr>
                <w:w w:val="95"/>
                <w:sz w:val="15"/>
              </w:rPr>
              <w:t>communication</w:t>
            </w:r>
            <w:r>
              <w:rPr>
                <w:spacing w:val="7"/>
                <w:w w:val="95"/>
                <w:sz w:val="15"/>
              </w:rPr>
              <w:t xml:space="preserve"> </w:t>
            </w:r>
            <w:r>
              <w:rPr>
                <w:w w:val="95"/>
                <w:sz w:val="15"/>
              </w:rPr>
              <w:t>function</w:t>
            </w:r>
          </w:p>
        </w:tc>
        <w:tc>
          <w:tcPr>
            <w:tcW w:w="803" w:type="dxa"/>
          </w:tcPr>
          <w:p w14:paraId="79488082" w14:textId="77777777" w:rsidR="00F65DFC" w:rsidRDefault="00F65DFC" w:rsidP="007A4637">
            <w:pPr>
              <w:pStyle w:val="TableParagraph"/>
              <w:spacing w:before="8"/>
              <w:rPr>
                <w:sz w:val="19"/>
              </w:rPr>
            </w:pPr>
          </w:p>
          <w:p w14:paraId="6D7700AC" w14:textId="77777777" w:rsidR="00F65DFC" w:rsidRDefault="00F65DFC" w:rsidP="007A4637">
            <w:pPr>
              <w:pStyle w:val="TableParagraph"/>
              <w:spacing w:before="1" w:line="151" w:lineRule="exact"/>
              <w:ind w:left="205" w:right="205"/>
              <w:jc w:val="center"/>
              <w:rPr>
                <w:sz w:val="15"/>
              </w:rPr>
            </w:pPr>
            <w:r>
              <w:rPr>
                <w:w w:val="95"/>
                <w:sz w:val="15"/>
              </w:rPr>
              <w:t>79.57</w:t>
            </w:r>
          </w:p>
        </w:tc>
        <w:tc>
          <w:tcPr>
            <w:tcW w:w="780" w:type="dxa"/>
          </w:tcPr>
          <w:p w14:paraId="0961B3A9" w14:textId="77777777" w:rsidR="00F65DFC" w:rsidRDefault="00F65DFC" w:rsidP="007A4637">
            <w:pPr>
              <w:pStyle w:val="TableParagraph"/>
              <w:spacing w:before="8"/>
              <w:rPr>
                <w:sz w:val="19"/>
              </w:rPr>
            </w:pPr>
          </w:p>
          <w:p w14:paraId="04360089" w14:textId="77777777" w:rsidR="00F65DFC" w:rsidRDefault="00F65DFC" w:rsidP="007A4637">
            <w:pPr>
              <w:pStyle w:val="TableParagraph"/>
              <w:spacing w:before="1" w:line="151" w:lineRule="exact"/>
              <w:ind w:right="230"/>
              <w:jc w:val="right"/>
              <w:rPr>
                <w:sz w:val="15"/>
              </w:rPr>
            </w:pPr>
            <w:r>
              <w:rPr>
                <w:w w:val="95"/>
                <w:sz w:val="15"/>
              </w:rPr>
              <w:t>21.22</w:t>
            </w:r>
          </w:p>
        </w:tc>
        <w:tc>
          <w:tcPr>
            <w:tcW w:w="851" w:type="dxa"/>
          </w:tcPr>
          <w:p w14:paraId="26BF4CB5" w14:textId="77777777" w:rsidR="00F65DFC" w:rsidRDefault="00F65DFC" w:rsidP="007A4637">
            <w:pPr>
              <w:pStyle w:val="TableParagraph"/>
              <w:spacing w:before="8"/>
              <w:rPr>
                <w:sz w:val="19"/>
              </w:rPr>
            </w:pPr>
          </w:p>
          <w:p w14:paraId="13EE736E" w14:textId="77777777" w:rsidR="00F65DFC" w:rsidRDefault="00F65DFC" w:rsidP="007A4637">
            <w:pPr>
              <w:pStyle w:val="TableParagraph"/>
              <w:spacing w:before="1" w:line="151" w:lineRule="exact"/>
              <w:ind w:right="228"/>
              <w:jc w:val="right"/>
              <w:rPr>
                <w:sz w:val="15"/>
              </w:rPr>
            </w:pPr>
            <w:r>
              <w:rPr>
                <w:w w:val="95"/>
                <w:sz w:val="15"/>
              </w:rPr>
              <w:t>1.001</w:t>
            </w:r>
          </w:p>
        </w:tc>
        <w:tc>
          <w:tcPr>
            <w:tcW w:w="548" w:type="dxa"/>
          </w:tcPr>
          <w:p w14:paraId="3DCEF4DD" w14:textId="77777777" w:rsidR="00F65DFC" w:rsidRDefault="00F65DFC" w:rsidP="007A4637">
            <w:pPr>
              <w:pStyle w:val="TableParagraph"/>
              <w:spacing w:before="8"/>
              <w:rPr>
                <w:sz w:val="19"/>
              </w:rPr>
            </w:pPr>
          </w:p>
          <w:p w14:paraId="47949B13" w14:textId="77777777" w:rsidR="00F65DFC" w:rsidRDefault="00F65DFC" w:rsidP="007A4637">
            <w:pPr>
              <w:pStyle w:val="TableParagraph"/>
              <w:spacing w:before="1" w:line="151" w:lineRule="exact"/>
              <w:ind w:right="-15"/>
              <w:jc w:val="right"/>
              <w:rPr>
                <w:sz w:val="15"/>
              </w:rPr>
            </w:pPr>
            <w:r>
              <w:rPr>
                <w:w w:val="95"/>
                <w:sz w:val="15"/>
              </w:rPr>
              <w:t>0.484</w:t>
            </w:r>
          </w:p>
        </w:tc>
      </w:tr>
      <w:tr w:rsidR="00F65DFC" w14:paraId="2A73671C" w14:textId="77777777" w:rsidTr="007A4637">
        <w:trPr>
          <w:trHeight w:val="230"/>
        </w:trPr>
        <w:tc>
          <w:tcPr>
            <w:tcW w:w="3929" w:type="dxa"/>
          </w:tcPr>
          <w:p w14:paraId="54CCF787" w14:textId="77777777" w:rsidR="00F65DFC" w:rsidRDefault="00F65DFC" w:rsidP="007A4637">
            <w:pPr>
              <w:pStyle w:val="TableParagraph"/>
              <w:ind w:left="-1"/>
              <w:rPr>
                <w:sz w:val="15"/>
              </w:rPr>
            </w:pPr>
            <w:r>
              <w:rPr>
                <w:w w:val="95"/>
                <w:sz w:val="15"/>
              </w:rPr>
              <w:t>No</w:t>
            </w:r>
            <w:r>
              <w:rPr>
                <w:spacing w:val="6"/>
                <w:w w:val="95"/>
                <w:sz w:val="15"/>
              </w:rPr>
              <w:t xml:space="preserve"> </w:t>
            </w:r>
            <w:r>
              <w:rPr>
                <w:w w:val="95"/>
                <w:sz w:val="15"/>
              </w:rPr>
              <w:t>influence</w:t>
            </w:r>
            <w:r>
              <w:rPr>
                <w:spacing w:val="7"/>
                <w:w w:val="95"/>
                <w:sz w:val="15"/>
              </w:rPr>
              <w:t xml:space="preserve"> </w:t>
            </w:r>
            <w:r>
              <w:rPr>
                <w:w w:val="95"/>
                <w:sz w:val="15"/>
              </w:rPr>
              <w:t>in</w:t>
            </w:r>
            <w:r>
              <w:rPr>
                <w:spacing w:val="8"/>
                <w:w w:val="95"/>
                <w:sz w:val="15"/>
              </w:rPr>
              <w:t xml:space="preserve"> </w:t>
            </w:r>
            <w:r>
              <w:rPr>
                <w:w w:val="95"/>
                <w:sz w:val="15"/>
              </w:rPr>
              <w:t>the</w:t>
            </w:r>
            <w:r>
              <w:rPr>
                <w:spacing w:val="7"/>
                <w:w w:val="95"/>
                <w:sz w:val="15"/>
              </w:rPr>
              <w:t xml:space="preserve"> </w:t>
            </w:r>
            <w:r>
              <w:rPr>
                <w:w w:val="95"/>
                <w:sz w:val="15"/>
              </w:rPr>
              <w:t>communication</w:t>
            </w:r>
            <w:r>
              <w:rPr>
                <w:spacing w:val="6"/>
                <w:w w:val="95"/>
                <w:sz w:val="15"/>
              </w:rPr>
              <w:t xml:space="preserve"> </w:t>
            </w:r>
            <w:r>
              <w:rPr>
                <w:w w:val="95"/>
                <w:sz w:val="15"/>
              </w:rPr>
              <w:t>function</w:t>
            </w:r>
          </w:p>
        </w:tc>
        <w:tc>
          <w:tcPr>
            <w:tcW w:w="803" w:type="dxa"/>
          </w:tcPr>
          <w:p w14:paraId="5640E563" w14:textId="77777777" w:rsidR="00F65DFC" w:rsidRDefault="00F65DFC" w:rsidP="007A4637">
            <w:pPr>
              <w:pStyle w:val="TableParagraph"/>
              <w:ind w:left="205" w:right="205"/>
              <w:jc w:val="center"/>
              <w:rPr>
                <w:sz w:val="15"/>
              </w:rPr>
            </w:pPr>
            <w:r>
              <w:rPr>
                <w:w w:val="95"/>
                <w:sz w:val="15"/>
              </w:rPr>
              <w:t>75.60</w:t>
            </w:r>
          </w:p>
        </w:tc>
        <w:tc>
          <w:tcPr>
            <w:tcW w:w="780" w:type="dxa"/>
          </w:tcPr>
          <w:p w14:paraId="12ACDDA9" w14:textId="77777777" w:rsidR="00F65DFC" w:rsidRDefault="00F65DFC" w:rsidP="007A4637">
            <w:pPr>
              <w:pStyle w:val="TableParagraph"/>
              <w:ind w:right="230"/>
              <w:jc w:val="right"/>
              <w:rPr>
                <w:sz w:val="15"/>
              </w:rPr>
            </w:pPr>
            <w:r>
              <w:rPr>
                <w:w w:val="95"/>
                <w:sz w:val="15"/>
              </w:rPr>
              <w:t>22.41</w:t>
            </w:r>
          </w:p>
        </w:tc>
        <w:tc>
          <w:tcPr>
            <w:tcW w:w="851" w:type="dxa"/>
          </w:tcPr>
          <w:p w14:paraId="0CC055F1" w14:textId="77777777" w:rsidR="00F65DFC" w:rsidRDefault="00F65DFC" w:rsidP="007A4637">
            <w:pPr>
              <w:pStyle w:val="TableParagraph"/>
              <w:rPr>
                <w:rFonts w:ascii="Times New Roman"/>
                <w:sz w:val="14"/>
              </w:rPr>
            </w:pPr>
          </w:p>
        </w:tc>
        <w:tc>
          <w:tcPr>
            <w:tcW w:w="548" w:type="dxa"/>
          </w:tcPr>
          <w:p w14:paraId="49ADC535" w14:textId="77777777" w:rsidR="00F65DFC" w:rsidRDefault="00F65DFC" w:rsidP="007A4637">
            <w:pPr>
              <w:pStyle w:val="TableParagraph"/>
              <w:rPr>
                <w:rFonts w:ascii="Times New Roman"/>
                <w:sz w:val="14"/>
              </w:rPr>
            </w:pPr>
          </w:p>
        </w:tc>
      </w:tr>
      <w:tr w:rsidR="00F65DFC" w14:paraId="44B2B03D" w14:textId="77777777" w:rsidTr="007A4637">
        <w:trPr>
          <w:trHeight w:val="402"/>
        </w:trPr>
        <w:tc>
          <w:tcPr>
            <w:tcW w:w="3929" w:type="dxa"/>
          </w:tcPr>
          <w:p w14:paraId="28476362" w14:textId="77777777" w:rsidR="00F65DFC" w:rsidRDefault="00F65DFC" w:rsidP="007A4637">
            <w:pPr>
              <w:pStyle w:val="TableParagraph"/>
              <w:spacing w:before="59" w:line="174" w:lineRule="exact"/>
              <w:ind w:left="-1"/>
              <w:rPr>
                <w:i/>
                <w:sz w:val="15"/>
              </w:rPr>
            </w:pPr>
            <w:r>
              <w:rPr>
                <w:i/>
                <w:sz w:val="15"/>
              </w:rPr>
              <w:t>Success</w:t>
            </w:r>
          </w:p>
          <w:p w14:paraId="55BC61A5" w14:textId="77777777" w:rsidR="00F65DFC" w:rsidRDefault="00F65DFC" w:rsidP="007A4637">
            <w:pPr>
              <w:pStyle w:val="TableParagraph"/>
              <w:spacing w:line="150" w:lineRule="exact"/>
              <w:ind w:left="-1"/>
              <w:rPr>
                <w:sz w:val="15"/>
              </w:rPr>
            </w:pPr>
            <w:r>
              <w:rPr>
                <w:w w:val="95"/>
                <w:sz w:val="15"/>
              </w:rPr>
              <w:t>Success</w:t>
            </w:r>
            <w:r>
              <w:rPr>
                <w:spacing w:val="8"/>
                <w:w w:val="95"/>
                <w:sz w:val="15"/>
              </w:rPr>
              <w:t xml:space="preserve"> </w:t>
            </w:r>
            <w:r>
              <w:rPr>
                <w:w w:val="95"/>
                <w:sz w:val="15"/>
              </w:rPr>
              <w:t>in</w:t>
            </w:r>
            <w:r>
              <w:rPr>
                <w:spacing w:val="11"/>
                <w:w w:val="95"/>
                <w:sz w:val="15"/>
              </w:rPr>
              <w:t xml:space="preserve"> </w:t>
            </w:r>
            <w:r>
              <w:rPr>
                <w:w w:val="95"/>
                <w:sz w:val="15"/>
              </w:rPr>
              <w:t>the</w:t>
            </w:r>
            <w:r>
              <w:rPr>
                <w:spacing w:val="9"/>
                <w:w w:val="95"/>
                <w:sz w:val="15"/>
              </w:rPr>
              <w:t xml:space="preserve"> </w:t>
            </w:r>
            <w:r>
              <w:rPr>
                <w:w w:val="95"/>
                <w:sz w:val="15"/>
              </w:rPr>
              <w:t>communication</w:t>
            </w:r>
            <w:r>
              <w:rPr>
                <w:spacing w:val="9"/>
                <w:w w:val="95"/>
                <w:sz w:val="15"/>
              </w:rPr>
              <w:t xml:space="preserve"> </w:t>
            </w:r>
            <w:r>
              <w:rPr>
                <w:w w:val="95"/>
                <w:sz w:val="15"/>
              </w:rPr>
              <w:t>function</w:t>
            </w:r>
          </w:p>
        </w:tc>
        <w:tc>
          <w:tcPr>
            <w:tcW w:w="803" w:type="dxa"/>
          </w:tcPr>
          <w:p w14:paraId="36FAD5E0" w14:textId="77777777" w:rsidR="00F65DFC" w:rsidRDefault="00F65DFC" w:rsidP="007A4637">
            <w:pPr>
              <w:pStyle w:val="TableParagraph"/>
              <w:spacing w:before="7"/>
              <w:rPr>
                <w:sz w:val="19"/>
              </w:rPr>
            </w:pPr>
          </w:p>
          <w:p w14:paraId="4FEBD189" w14:textId="77777777" w:rsidR="00F65DFC" w:rsidRDefault="00F65DFC" w:rsidP="007A4637">
            <w:pPr>
              <w:pStyle w:val="TableParagraph"/>
              <w:spacing w:before="1" w:line="152" w:lineRule="exact"/>
              <w:ind w:left="205" w:right="205"/>
              <w:jc w:val="center"/>
              <w:rPr>
                <w:sz w:val="15"/>
              </w:rPr>
            </w:pPr>
            <w:r>
              <w:rPr>
                <w:w w:val="95"/>
                <w:sz w:val="15"/>
              </w:rPr>
              <w:t>79.56</w:t>
            </w:r>
          </w:p>
        </w:tc>
        <w:tc>
          <w:tcPr>
            <w:tcW w:w="780" w:type="dxa"/>
          </w:tcPr>
          <w:p w14:paraId="24D24279" w14:textId="77777777" w:rsidR="00F65DFC" w:rsidRDefault="00F65DFC" w:rsidP="007A4637">
            <w:pPr>
              <w:pStyle w:val="TableParagraph"/>
              <w:spacing w:before="7"/>
              <w:rPr>
                <w:sz w:val="19"/>
              </w:rPr>
            </w:pPr>
          </w:p>
          <w:p w14:paraId="314CDD4C" w14:textId="77777777" w:rsidR="00F65DFC" w:rsidRDefault="00F65DFC" w:rsidP="007A4637">
            <w:pPr>
              <w:pStyle w:val="TableParagraph"/>
              <w:spacing w:before="1" w:line="152" w:lineRule="exact"/>
              <w:ind w:right="230"/>
              <w:jc w:val="right"/>
              <w:rPr>
                <w:sz w:val="15"/>
              </w:rPr>
            </w:pPr>
            <w:r>
              <w:rPr>
                <w:w w:val="95"/>
                <w:sz w:val="15"/>
              </w:rPr>
              <w:t>21.38</w:t>
            </w:r>
          </w:p>
        </w:tc>
        <w:tc>
          <w:tcPr>
            <w:tcW w:w="851" w:type="dxa"/>
          </w:tcPr>
          <w:p w14:paraId="6CD26F12" w14:textId="77777777" w:rsidR="00F65DFC" w:rsidRDefault="00F65DFC" w:rsidP="007A4637">
            <w:pPr>
              <w:pStyle w:val="TableParagraph"/>
              <w:spacing w:before="7"/>
              <w:rPr>
                <w:sz w:val="19"/>
              </w:rPr>
            </w:pPr>
          </w:p>
          <w:p w14:paraId="5FFBE3CC" w14:textId="77777777" w:rsidR="00F65DFC" w:rsidRDefault="00F65DFC" w:rsidP="007A4637">
            <w:pPr>
              <w:pStyle w:val="TableParagraph"/>
              <w:spacing w:before="1" w:line="152" w:lineRule="exact"/>
              <w:ind w:right="228"/>
              <w:jc w:val="right"/>
              <w:rPr>
                <w:sz w:val="15"/>
              </w:rPr>
            </w:pPr>
            <w:r>
              <w:rPr>
                <w:w w:val="95"/>
                <w:sz w:val="15"/>
              </w:rPr>
              <w:t>0.936</w:t>
            </w:r>
          </w:p>
        </w:tc>
        <w:tc>
          <w:tcPr>
            <w:tcW w:w="548" w:type="dxa"/>
          </w:tcPr>
          <w:p w14:paraId="5D5EF66E" w14:textId="77777777" w:rsidR="00F65DFC" w:rsidRDefault="00F65DFC" w:rsidP="007A4637">
            <w:pPr>
              <w:pStyle w:val="TableParagraph"/>
              <w:spacing w:before="7"/>
              <w:rPr>
                <w:sz w:val="19"/>
              </w:rPr>
            </w:pPr>
          </w:p>
          <w:p w14:paraId="1F20B454" w14:textId="77777777" w:rsidR="00F65DFC" w:rsidRDefault="00F65DFC" w:rsidP="007A4637">
            <w:pPr>
              <w:pStyle w:val="TableParagraph"/>
              <w:spacing w:before="1" w:line="152" w:lineRule="exact"/>
              <w:ind w:right="-15"/>
              <w:jc w:val="right"/>
              <w:rPr>
                <w:sz w:val="15"/>
              </w:rPr>
            </w:pPr>
            <w:r>
              <w:rPr>
                <w:w w:val="95"/>
                <w:sz w:val="15"/>
              </w:rPr>
              <w:t>0.649</w:t>
            </w:r>
          </w:p>
        </w:tc>
      </w:tr>
      <w:tr w:rsidR="00F65DFC" w14:paraId="480BCAA1" w14:textId="77777777" w:rsidTr="007A4637">
        <w:trPr>
          <w:trHeight w:val="231"/>
        </w:trPr>
        <w:tc>
          <w:tcPr>
            <w:tcW w:w="3929" w:type="dxa"/>
          </w:tcPr>
          <w:p w14:paraId="161FF712" w14:textId="77777777" w:rsidR="00F65DFC" w:rsidRDefault="00F65DFC" w:rsidP="007A4637">
            <w:pPr>
              <w:pStyle w:val="TableParagraph"/>
              <w:ind w:left="-1"/>
              <w:rPr>
                <w:sz w:val="15"/>
              </w:rPr>
            </w:pPr>
            <w:r>
              <w:rPr>
                <w:w w:val="95"/>
                <w:sz w:val="15"/>
              </w:rPr>
              <w:t>No</w:t>
            </w:r>
            <w:r>
              <w:rPr>
                <w:spacing w:val="9"/>
                <w:w w:val="95"/>
                <w:sz w:val="15"/>
              </w:rPr>
              <w:t xml:space="preserve"> </w:t>
            </w:r>
            <w:r>
              <w:rPr>
                <w:w w:val="95"/>
                <w:sz w:val="15"/>
              </w:rPr>
              <w:t>success</w:t>
            </w:r>
            <w:r>
              <w:rPr>
                <w:spacing w:val="9"/>
                <w:w w:val="95"/>
                <w:sz w:val="15"/>
              </w:rPr>
              <w:t xml:space="preserve"> </w:t>
            </w:r>
            <w:r>
              <w:rPr>
                <w:w w:val="95"/>
                <w:sz w:val="15"/>
              </w:rPr>
              <w:t>in</w:t>
            </w:r>
            <w:r>
              <w:rPr>
                <w:spacing w:val="9"/>
                <w:w w:val="95"/>
                <w:sz w:val="15"/>
              </w:rPr>
              <w:t xml:space="preserve"> </w:t>
            </w:r>
            <w:r>
              <w:rPr>
                <w:w w:val="95"/>
                <w:sz w:val="15"/>
              </w:rPr>
              <w:t>the</w:t>
            </w:r>
            <w:r>
              <w:rPr>
                <w:spacing w:val="9"/>
                <w:w w:val="95"/>
                <w:sz w:val="15"/>
              </w:rPr>
              <w:t xml:space="preserve"> </w:t>
            </w:r>
            <w:r>
              <w:rPr>
                <w:w w:val="95"/>
                <w:sz w:val="15"/>
              </w:rPr>
              <w:t>communication</w:t>
            </w:r>
            <w:r>
              <w:rPr>
                <w:spacing w:val="8"/>
                <w:w w:val="95"/>
                <w:sz w:val="15"/>
              </w:rPr>
              <w:t xml:space="preserve"> </w:t>
            </w:r>
            <w:r>
              <w:rPr>
                <w:w w:val="95"/>
                <w:sz w:val="15"/>
              </w:rPr>
              <w:t>function</w:t>
            </w:r>
          </w:p>
        </w:tc>
        <w:tc>
          <w:tcPr>
            <w:tcW w:w="803" w:type="dxa"/>
          </w:tcPr>
          <w:p w14:paraId="63561806" w14:textId="77777777" w:rsidR="00F65DFC" w:rsidRDefault="00F65DFC" w:rsidP="007A4637">
            <w:pPr>
              <w:pStyle w:val="TableParagraph"/>
              <w:ind w:left="205" w:right="205"/>
              <w:jc w:val="center"/>
              <w:rPr>
                <w:sz w:val="15"/>
              </w:rPr>
            </w:pPr>
            <w:r>
              <w:rPr>
                <w:w w:val="95"/>
                <w:sz w:val="15"/>
              </w:rPr>
              <w:t>76.18</w:t>
            </w:r>
          </w:p>
        </w:tc>
        <w:tc>
          <w:tcPr>
            <w:tcW w:w="780" w:type="dxa"/>
          </w:tcPr>
          <w:p w14:paraId="78E477A4" w14:textId="77777777" w:rsidR="00F65DFC" w:rsidRDefault="00F65DFC" w:rsidP="007A4637">
            <w:pPr>
              <w:pStyle w:val="TableParagraph"/>
              <w:ind w:right="230"/>
              <w:jc w:val="right"/>
              <w:rPr>
                <w:sz w:val="15"/>
              </w:rPr>
            </w:pPr>
            <w:r>
              <w:rPr>
                <w:w w:val="95"/>
                <w:sz w:val="15"/>
              </w:rPr>
              <w:t>22.22</w:t>
            </w:r>
          </w:p>
        </w:tc>
        <w:tc>
          <w:tcPr>
            <w:tcW w:w="851" w:type="dxa"/>
          </w:tcPr>
          <w:p w14:paraId="6FCECA22" w14:textId="77777777" w:rsidR="00F65DFC" w:rsidRDefault="00F65DFC" w:rsidP="007A4637">
            <w:pPr>
              <w:pStyle w:val="TableParagraph"/>
              <w:rPr>
                <w:rFonts w:ascii="Times New Roman"/>
                <w:sz w:val="14"/>
              </w:rPr>
            </w:pPr>
          </w:p>
        </w:tc>
        <w:tc>
          <w:tcPr>
            <w:tcW w:w="548" w:type="dxa"/>
          </w:tcPr>
          <w:p w14:paraId="6B2D686B" w14:textId="77777777" w:rsidR="00F65DFC" w:rsidRDefault="00F65DFC" w:rsidP="007A4637">
            <w:pPr>
              <w:pStyle w:val="TableParagraph"/>
              <w:rPr>
                <w:rFonts w:ascii="Times New Roman"/>
                <w:sz w:val="14"/>
              </w:rPr>
            </w:pPr>
          </w:p>
        </w:tc>
      </w:tr>
      <w:tr w:rsidR="00F65DFC" w14:paraId="58B60EED" w14:textId="77777777" w:rsidTr="007A4637">
        <w:trPr>
          <w:trHeight w:val="401"/>
        </w:trPr>
        <w:tc>
          <w:tcPr>
            <w:tcW w:w="3929" w:type="dxa"/>
          </w:tcPr>
          <w:p w14:paraId="076962C6" w14:textId="77777777" w:rsidR="00F65DFC" w:rsidRDefault="00F65DFC" w:rsidP="007A4637">
            <w:pPr>
              <w:pStyle w:val="TableParagraph"/>
              <w:spacing w:before="59" w:line="174" w:lineRule="exact"/>
              <w:ind w:left="-1"/>
              <w:rPr>
                <w:i/>
                <w:sz w:val="15"/>
              </w:rPr>
            </w:pPr>
            <w:r>
              <w:rPr>
                <w:i/>
                <w:w w:val="90"/>
                <w:sz w:val="15"/>
              </w:rPr>
              <w:t>Job</w:t>
            </w:r>
            <w:r>
              <w:rPr>
                <w:i/>
                <w:spacing w:val="35"/>
                <w:sz w:val="15"/>
              </w:rPr>
              <w:t xml:space="preserve"> </w:t>
            </w:r>
            <w:r>
              <w:rPr>
                <w:i/>
                <w:w w:val="90"/>
                <w:sz w:val="15"/>
              </w:rPr>
              <w:t>experience</w:t>
            </w:r>
          </w:p>
          <w:p w14:paraId="70FF0910" w14:textId="77777777" w:rsidR="00F65DFC" w:rsidRDefault="00F65DFC" w:rsidP="007A4637">
            <w:pPr>
              <w:pStyle w:val="TableParagraph"/>
              <w:spacing w:line="149" w:lineRule="exact"/>
              <w:ind w:left="-1"/>
              <w:rPr>
                <w:sz w:val="15"/>
              </w:rPr>
            </w:pPr>
            <w:r>
              <w:rPr>
                <w:sz w:val="15"/>
              </w:rPr>
              <w:t>Up</w:t>
            </w:r>
            <w:r>
              <w:rPr>
                <w:spacing w:val="-2"/>
                <w:sz w:val="15"/>
              </w:rPr>
              <w:t xml:space="preserve"> </w:t>
            </w:r>
            <w:r>
              <w:rPr>
                <w:sz w:val="15"/>
              </w:rPr>
              <w:t>to</w:t>
            </w:r>
            <w:r>
              <w:rPr>
                <w:spacing w:val="-1"/>
                <w:sz w:val="15"/>
              </w:rPr>
              <w:t xml:space="preserve"> </w:t>
            </w:r>
            <w:r>
              <w:rPr>
                <w:sz w:val="15"/>
              </w:rPr>
              <w:t>5</w:t>
            </w:r>
            <w:r>
              <w:rPr>
                <w:spacing w:val="-3"/>
                <w:sz w:val="15"/>
              </w:rPr>
              <w:t xml:space="preserve"> </w:t>
            </w:r>
            <w:r>
              <w:rPr>
                <w:sz w:val="15"/>
              </w:rPr>
              <w:t>years</w:t>
            </w:r>
          </w:p>
        </w:tc>
        <w:tc>
          <w:tcPr>
            <w:tcW w:w="803" w:type="dxa"/>
          </w:tcPr>
          <w:p w14:paraId="030BA16E" w14:textId="77777777" w:rsidR="00F65DFC" w:rsidRDefault="00F65DFC" w:rsidP="007A4637">
            <w:pPr>
              <w:pStyle w:val="TableParagraph"/>
              <w:spacing w:before="7"/>
              <w:rPr>
                <w:sz w:val="19"/>
              </w:rPr>
            </w:pPr>
          </w:p>
          <w:p w14:paraId="703C9AC0" w14:textId="77777777" w:rsidR="00F65DFC" w:rsidRDefault="00F65DFC" w:rsidP="007A4637">
            <w:pPr>
              <w:pStyle w:val="TableParagraph"/>
              <w:spacing w:before="1" w:line="151" w:lineRule="exact"/>
              <w:ind w:left="205" w:right="205"/>
              <w:jc w:val="center"/>
              <w:rPr>
                <w:sz w:val="15"/>
              </w:rPr>
            </w:pPr>
            <w:r>
              <w:rPr>
                <w:w w:val="95"/>
                <w:sz w:val="15"/>
              </w:rPr>
              <w:t>76.20</w:t>
            </w:r>
          </w:p>
        </w:tc>
        <w:tc>
          <w:tcPr>
            <w:tcW w:w="780" w:type="dxa"/>
          </w:tcPr>
          <w:p w14:paraId="6009B4E2" w14:textId="77777777" w:rsidR="00F65DFC" w:rsidRDefault="00F65DFC" w:rsidP="007A4637">
            <w:pPr>
              <w:pStyle w:val="TableParagraph"/>
              <w:spacing w:before="7"/>
              <w:rPr>
                <w:sz w:val="19"/>
              </w:rPr>
            </w:pPr>
          </w:p>
          <w:p w14:paraId="6F6D19B1" w14:textId="77777777" w:rsidR="00F65DFC" w:rsidRDefault="00F65DFC" w:rsidP="007A4637">
            <w:pPr>
              <w:pStyle w:val="TableParagraph"/>
              <w:spacing w:before="1" w:line="151" w:lineRule="exact"/>
              <w:ind w:right="230"/>
              <w:jc w:val="right"/>
              <w:rPr>
                <w:sz w:val="15"/>
              </w:rPr>
            </w:pPr>
            <w:r>
              <w:rPr>
                <w:w w:val="95"/>
                <w:sz w:val="15"/>
              </w:rPr>
              <w:t>22.70</w:t>
            </w:r>
          </w:p>
        </w:tc>
        <w:tc>
          <w:tcPr>
            <w:tcW w:w="851" w:type="dxa"/>
          </w:tcPr>
          <w:p w14:paraId="477F821A" w14:textId="77777777" w:rsidR="00F65DFC" w:rsidRDefault="00F65DFC" w:rsidP="007A4637">
            <w:pPr>
              <w:pStyle w:val="TableParagraph"/>
              <w:spacing w:before="7"/>
              <w:rPr>
                <w:sz w:val="19"/>
              </w:rPr>
            </w:pPr>
          </w:p>
          <w:p w14:paraId="01AF0161" w14:textId="77777777" w:rsidR="00F65DFC" w:rsidRDefault="00F65DFC" w:rsidP="007A4637">
            <w:pPr>
              <w:pStyle w:val="TableParagraph"/>
              <w:spacing w:before="1" w:line="151" w:lineRule="exact"/>
              <w:ind w:right="228"/>
              <w:jc w:val="right"/>
              <w:rPr>
                <w:sz w:val="15"/>
              </w:rPr>
            </w:pPr>
            <w:r>
              <w:rPr>
                <w:w w:val="95"/>
                <w:sz w:val="15"/>
              </w:rPr>
              <w:t>1.552</w:t>
            </w:r>
          </w:p>
        </w:tc>
        <w:tc>
          <w:tcPr>
            <w:tcW w:w="548" w:type="dxa"/>
          </w:tcPr>
          <w:p w14:paraId="31D4A93A" w14:textId="77777777" w:rsidR="00F65DFC" w:rsidRDefault="00F65DFC" w:rsidP="007A4637">
            <w:pPr>
              <w:pStyle w:val="TableParagraph"/>
              <w:spacing w:before="7"/>
              <w:rPr>
                <w:sz w:val="19"/>
              </w:rPr>
            </w:pPr>
          </w:p>
          <w:p w14:paraId="466CD862" w14:textId="77777777" w:rsidR="00F65DFC" w:rsidRDefault="00F65DFC" w:rsidP="007A4637">
            <w:pPr>
              <w:pStyle w:val="TableParagraph"/>
              <w:spacing w:before="1" w:line="151" w:lineRule="exact"/>
              <w:ind w:right="-15"/>
              <w:jc w:val="right"/>
              <w:rPr>
                <w:sz w:val="15"/>
              </w:rPr>
            </w:pPr>
            <w:r>
              <w:rPr>
                <w:w w:val="95"/>
                <w:sz w:val="15"/>
              </w:rPr>
              <w:t>0.001</w:t>
            </w:r>
          </w:p>
        </w:tc>
      </w:tr>
      <w:tr w:rsidR="00F65DFC" w14:paraId="0D11183C" w14:textId="77777777" w:rsidTr="007A4637">
        <w:trPr>
          <w:trHeight w:val="171"/>
        </w:trPr>
        <w:tc>
          <w:tcPr>
            <w:tcW w:w="3929" w:type="dxa"/>
          </w:tcPr>
          <w:p w14:paraId="5B678671" w14:textId="77777777" w:rsidR="00F65DFC" w:rsidRDefault="00F65DFC" w:rsidP="007A4637">
            <w:pPr>
              <w:pStyle w:val="TableParagraph"/>
              <w:spacing w:line="151" w:lineRule="exact"/>
              <w:ind w:left="-1"/>
              <w:rPr>
                <w:sz w:val="15"/>
              </w:rPr>
            </w:pPr>
            <w:r>
              <w:rPr>
                <w:w w:val="95"/>
                <w:sz w:val="15"/>
              </w:rPr>
              <w:t>6</w:t>
            </w:r>
            <w:r>
              <w:rPr>
                <w:spacing w:val="6"/>
                <w:w w:val="95"/>
                <w:sz w:val="15"/>
              </w:rPr>
              <w:t xml:space="preserve"> </w:t>
            </w:r>
            <w:r>
              <w:rPr>
                <w:w w:val="95"/>
                <w:sz w:val="15"/>
              </w:rPr>
              <w:t>to</w:t>
            </w:r>
            <w:r>
              <w:rPr>
                <w:spacing w:val="7"/>
                <w:w w:val="95"/>
                <w:sz w:val="15"/>
              </w:rPr>
              <w:t xml:space="preserve"> </w:t>
            </w:r>
            <w:r>
              <w:rPr>
                <w:w w:val="95"/>
                <w:sz w:val="15"/>
              </w:rPr>
              <w:t>10</w:t>
            </w:r>
            <w:r>
              <w:rPr>
                <w:spacing w:val="6"/>
                <w:w w:val="95"/>
                <w:sz w:val="15"/>
              </w:rPr>
              <w:t xml:space="preserve"> </w:t>
            </w:r>
            <w:r>
              <w:rPr>
                <w:w w:val="95"/>
                <w:sz w:val="15"/>
              </w:rPr>
              <w:t>years</w:t>
            </w:r>
          </w:p>
        </w:tc>
        <w:tc>
          <w:tcPr>
            <w:tcW w:w="803" w:type="dxa"/>
          </w:tcPr>
          <w:p w14:paraId="2D9D8FEB" w14:textId="77777777" w:rsidR="00F65DFC" w:rsidRDefault="00F65DFC" w:rsidP="007A4637">
            <w:pPr>
              <w:pStyle w:val="TableParagraph"/>
              <w:spacing w:line="151" w:lineRule="exact"/>
              <w:ind w:left="205" w:right="205"/>
              <w:jc w:val="center"/>
              <w:rPr>
                <w:sz w:val="15"/>
              </w:rPr>
            </w:pPr>
            <w:r>
              <w:rPr>
                <w:w w:val="95"/>
                <w:sz w:val="15"/>
              </w:rPr>
              <w:t>76.98</w:t>
            </w:r>
          </w:p>
        </w:tc>
        <w:tc>
          <w:tcPr>
            <w:tcW w:w="780" w:type="dxa"/>
          </w:tcPr>
          <w:p w14:paraId="10A6EF4F" w14:textId="77777777" w:rsidR="00F65DFC" w:rsidRDefault="00F65DFC" w:rsidP="007A4637">
            <w:pPr>
              <w:pStyle w:val="TableParagraph"/>
              <w:spacing w:line="151" w:lineRule="exact"/>
              <w:ind w:right="230"/>
              <w:jc w:val="right"/>
              <w:rPr>
                <w:sz w:val="15"/>
              </w:rPr>
            </w:pPr>
            <w:r>
              <w:rPr>
                <w:w w:val="95"/>
                <w:sz w:val="15"/>
              </w:rPr>
              <w:t>22.29</w:t>
            </w:r>
          </w:p>
        </w:tc>
        <w:tc>
          <w:tcPr>
            <w:tcW w:w="851" w:type="dxa"/>
          </w:tcPr>
          <w:p w14:paraId="6F37615E" w14:textId="77777777" w:rsidR="00F65DFC" w:rsidRDefault="00F65DFC" w:rsidP="007A4637">
            <w:pPr>
              <w:pStyle w:val="TableParagraph"/>
              <w:rPr>
                <w:rFonts w:ascii="Times New Roman"/>
                <w:sz w:val="10"/>
              </w:rPr>
            </w:pPr>
          </w:p>
        </w:tc>
        <w:tc>
          <w:tcPr>
            <w:tcW w:w="548" w:type="dxa"/>
          </w:tcPr>
          <w:p w14:paraId="3A9F51C7" w14:textId="77777777" w:rsidR="00F65DFC" w:rsidRDefault="00F65DFC" w:rsidP="007A4637">
            <w:pPr>
              <w:pStyle w:val="TableParagraph"/>
              <w:rPr>
                <w:rFonts w:ascii="Times New Roman"/>
                <w:sz w:val="10"/>
              </w:rPr>
            </w:pPr>
          </w:p>
        </w:tc>
      </w:tr>
      <w:tr w:rsidR="00F65DFC" w14:paraId="389B1AB7" w14:textId="77777777" w:rsidTr="007A4637">
        <w:trPr>
          <w:trHeight w:val="231"/>
        </w:trPr>
        <w:tc>
          <w:tcPr>
            <w:tcW w:w="3929" w:type="dxa"/>
          </w:tcPr>
          <w:p w14:paraId="63DB8093" w14:textId="77777777" w:rsidR="00F65DFC" w:rsidRDefault="00F65DFC" w:rsidP="007A4637">
            <w:pPr>
              <w:pStyle w:val="TableParagraph"/>
              <w:ind w:left="-1"/>
              <w:rPr>
                <w:sz w:val="15"/>
              </w:rPr>
            </w:pPr>
            <w:r>
              <w:rPr>
                <w:w w:val="95"/>
                <w:sz w:val="15"/>
              </w:rPr>
              <w:t>More</w:t>
            </w:r>
            <w:r>
              <w:rPr>
                <w:spacing w:val="10"/>
                <w:w w:val="95"/>
                <w:sz w:val="15"/>
              </w:rPr>
              <w:t xml:space="preserve"> </w:t>
            </w:r>
            <w:r>
              <w:rPr>
                <w:w w:val="95"/>
                <w:sz w:val="15"/>
              </w:rPr>
              <w:t>than</w:t>
            </w:r>
            <w:r>
              <w:rPr>
                <w:spacing w:val="9"/>
                <w:w w:val="95"/>
                <w:sz w:val="15"/>
              </w:rPr>
              <w:t xml:space="preserve"> </w:t>
            </w:r>
            <w:r>
              <w:rPr>
                <w:w w:val="95"/>
                <w:sz w:val="15"/>
              </w:rPr>
              <w:t>10</w:t>
            </w:r>
            <w:r>
              <w:rPr>
                <w:spacing w:val="8"/>
                <w:w w:val="95"/>
                <w:sz w:val="15"/>
              </w:rPr>
              <w:t xml:space="preserve"> </w:t>
            </w:r>
            <w:r>
              <w:rPr>
                <w:w w:val="95"/>
                <w:sz w:val="15"/>
              </w:rPr>
              <w:t>years</w:t>
            </w:r>
          </w:p>
        </w:tc>
        <w:tc>
          <w:tcPr>
            <w:tcW w:w="803" w:type="dxa"/>
          </w:tcPr>
          <w:p w14:paraId="76E06BE1" w14:textId="77777777" w:rsidR="00F65DFC" w:rsidRDefault="00F65DFC" w:rsidP="007A4637">
            <w:pPr>
              <w:pStyle w:val="TableParagraph"/>
              <w:ind w:left="205" w:right="205"/>
              <w:jc w:val="center"/>
              <w:rPr>
                <w:sz w:val="15"/>
              </w:rPr>
            </w:pPr>
            <w:r>
              <w:rPr>
                <w:w w:val="95"/>
                <w:sz w:val="15"/>
              </w:rPr>
              <w:t>77.78</w:t>
            </w:r>
          </w:p>
        </w:tc>
        <w:tc>
          <w:tcPr>
            <w:tcW w:w="780" w:type="dxa"/>
          </w:tcPr>
          <w:p w14:paraId="1A9786D5" w14:textId="77777777" w:rsidR="00F65DFC" w:rsidRDefault="00F65DFC" w:rsidP="007A4637">
            <w:pPr>
              <w:pStyle w:val="TableParagraph"/>
              <w:ind w:right="230"/>
              <w:jc w:val="right"/>
              <w:rPr>
                <w:sz w:val="15"/>
              </w:rPr>
            </w:pPr>
            <w:r>
              <w:rPr>
                <w:w w:val="95"/>
                <w:sz w:val="15"/>
              </w:rPr>
              <w:t>21.87</w:t>
            </w:r>
          </w:p>
        </w:tc>
        <w:tc>
          <w:tcPr>
            <w:tcW w:w="851" w:type="dxa"/>
          </w:tcPr>
          <w:p w14:paraId="421C6907" w14:textId="77777777" w:rsidR="00F65DFC" w:rsidRDefault="00F65DFC" w:rsidP="007A4637">
            <w:pPr>
              <w:pStyle w:val="TableParagraph"/>
              <w:rPr>
                <w:rFonts w:ascii="Times New Roman"/>
                <w:sz w:val="14"/>
              </w:rPr>
            </w:pPr>
          </w:p>
        </w:tc>
        <w:tc>
          <w:tcPr>
            <w:tcW w:w="548" w:type="dxa"/>
          </w:tcPr>
          <w:p w14:paraId="56F60E9A" w14:textId="77777777" w:rsidR="00F65DFC" w:rsidRDefault="00F65DFC" w:rsidP="007A4637">
            <w:pPr>
              <w:pStyle w:val="TableParagraph"/>
              <w:rPr>
                <w:rFonts w:ascii="Times New Roman"/>
                <w:sz w:val="14"/>
              </w:rPr>
            </w:pPr>
          </w:p>
        </w:tc>
      </w:tr>
      <w:tr w:rsidR="00F65DFC" w14:paraId="37876D90" w14:textId="77777777" w:rsidTr="007A4637">
        <w:trPr>
          <w:trHeight w:val="402"/>
        </w:trPr>
        <w:tc>
          <w:tcPr>
            <w:tcW w:w="3929" w:type="dxa"/>
          </w:tcPr>
          <w:p w14:paraId="315CA01E" w14:textId="77777777" w:rsidR="00F65DFC" w:rsidRDefault="00F65DFC" w:rsidP="007A4637">
            <w:pPr>
              <w:pStyle w:val="TableParagraph"/>
              <w:spacing w:before="60" w:line="174" w:lineRule="exact"/>
              <w:ind w:left="-1"/>
              <w:rPr>
                <w:i/>
                <w:sz w:val="15"/>
              </w:rPr>
            </w:pPr>
            <w:r>
              <w:rPr>
                <w:i/>
                <w:sz w:val="15"/>
              </w:rPr>
              <w:t>Organization</w:t>
            </w:r>
          </w:p>
          <w:p w14:paraId="49777D3C" w14:textId="77777777" w:rsidR="00F65DFC" w:rsidRDefault="00F65DFC" w:rsidP="007A4637">
            <w:pPr>
              <w:pStyle w:val="TableParagraph"/>
              <w:spacing w:line="149" w:lineRule="exact"/>
              <w:ind w:left="-1"/>
              <w:rPr>
                <w:sz w:val="15"/>
              </w:rPr>
            </w:pPr>
            <w:r>
              <w:rPr>
                <w:w w:val="95"/>
                <w:sz w:val="15"/>
              </w:rPr>
              <w:t>Join</w:t>
            </w:r>
            <w:r>
              <w:rPr>
                <w:spacing w:val="13"/>
                <w:w w:val="95"/>
                <w:sz w:val="15"/>
              </w:rPr>
              <w:t xml:space="preserve"> </w:t>
            </w:r>
            <w:r>
              <w:rPr>
                <w:w w:val="95"/>
                <w:sz w:val="15"/>
              </w:rPr>
              <w:t>stock</w:t>
            </w:r>
            <w:r>
              <w:rPr>
                <w:spacing w:val="14"/>
                <w:w w:val="95"/>
                <w:sz w:val="15"/>
              </w:rPr>
              <w:t xml:space="preserve"> </w:t>
            </w:r>
            <w:r>
              <w:rPr>
                <w:w w:val="95"/>
                <w:sz w:val="15"/>
              </w:rPr>
              <w:t>company</w:t>
            </w:r>
          </w:p>
        </w:tc>
        <w:tc>
          <w:tcPr>
            <w:tcW w:w="803" w:type="dxa"/>
          </w:tcPr>
          <w:p w14:paraId="080C3494" w14:textId="77777777" w:rsidR="00F65DFC" w:rsidRDefault="00F65DFC" w:rsidP="007A4637">
            <w:pPr>
              <w:pStyle w:val="TableParagraph"/>
              <w:spacing w:before="8"/>
              <w:rPr>
                <w:sz w:val="19"/>
              </w:rPr>
            </w:pPr>
          </w:p>
          <w:p w14:paraId="5749B3B5" w14:textId="77777777" w:rsidR="00F65DFC" w:rsidRDefault="00F65DFC" w:rsidP="007A4637">
            <w:pPr>
              <w:pStyle w:val="TableParagraph"/>
              <w:spacing w:line="151" w:lineRule="exact"/>
              <w:ind w:left="205" w:right="205"/>
              <w:jc w:val="center"/>
              <w:rPr>
                <w:sz w:val="15"/>
              </w:rPr>
            </w:pPr>
            <w:r>
              <w:rPr>
                <w:w w:val="95"/>
                <w:sz w:val="15"/>
              </w:rPr>
              <w:t>77.13</w:t>
            </w:r>
          </w:p>
        </w:tc>
        <w:tc>
          <w:tcPr>
            <w:tcW w:w="780" w:type="dxa"/>
          </w:tcPr>
          <w:p w14:paraId="41800B75" w14:textId="77777777" w:rsidR="00F65DFC" w:rsidRDefault="00F65DFC" w:rsidP="007A4637">
            <w:pPr>
              <w:pStyle w:val="TableParagraph"/>
              <w:spacing w:before="8"/>
              <w:rPr>
                <w:sz w:val="19"/>
              </w:rPr>
            </w:pPr>
          </w:p>
          <w:p w14:paraId="68446623" w14:textId="77777777" w:rsidR="00F65DFC" w:rsidRDefault="00F65DFC" w:rsidP="007A4637">
            <w:pPr>
              <w:pStyle w:val="TableParagraph"/>
              <w:spacing w:line="151" w:lineRule="exact"/>
              <w:ind w:right="230"/>
              <w:jc w:val="right"/>
              <w:rPr>
                <w:sz w:val="15"/>
              </w:rPr>
            </w:pPr>
            <w:r>
              <w:rPr>
                <w:w w:val="95"/>
                <w:sz w:val="15"/>
              </w:rPr>
              <w:t>22.10</w:t>
            </w:r>
          </w:p>
        </w:tc>
        <w:tc>
          <w:tcPr>
            <w:tcW w:w="851" w:type="dxa"/>
          </w:tcPr>
          <w:p w14:paraId="230F365E" w14:textId="77777777" w:rsidR="00F65DFC" w:rsidRDefault="00F65DFC" w:rsidP="007A4637">
            <w:pPr>
              <w:pStyle w:val="TableParagraph"/>
              <w:spacing w:before="8"/>
              <w:rPr>
                <w:sz w:val="19"/>
              </w:rPr>
            </w:pPr>
          </w:p>
          <w:p w14:paraId="19A56BF9" w14:textId="77777777" w:rsidR="00F65DFC" w:rsidRDefault="00F65DFC" w:rsidP="007A4637">
            <w:pPr>
              <w:pStyle w:val="TableParagraph"/>
              <w:spacing w:line="151" w:lineRule="exact"/>
              <w:ind w:right="228"/>
              <w:jc w:val="right"/>
              <w:rPr>
                <w:sz w:val="15"/>
              </w:rPr>
            </w:pPr>
            <w:r>
              <w:rPr>
                <w:w w:val="95"/>
                <w:sz w:val="15"/>
              </w:rPr>
              <w:t>1.261</w:t>
            </w:r>
          </w:p>
        </w:tc>
        <w:tc>
          <w:tcPr>
            <w:tcW w:w="548" w:type="dxa"/>
          </w:tcPr>
          <w:p w14:paraId="7A2BEF4B" w14:textId="77777777" w:rsidR="00F65DFC" w:rsidRDefault="00F65DFC" w:rsidP="007A4637">
            <w:pPr>
              <w:pStyle w:val="TableParagraph"/>
              <w:spacing w:before="8"/>
              <w:rPr>
                <w:sz w:val="19"/>
              </w:rPr>
            </w:pPr>
          </w:p>
          <w:p w14:paraId="02880729" w14:textId="77777777" w:rsidR="00F65DFC" w:rsidRDefault="00F65DFC" w:rsidP="007A4637">
            <w:pPr>
              <w:pStyle w:val="TableParagraph"/>
              <w:spacing w:line="151" w:lineRule="exact"/>
              <w:ind w:left="236"/>
              <w:rPr>
                <w:sz w:val="15"/>
              </w:rPr>
            </w:pPr>
            <w:r>
              <w:rPr>
                <w:w w:val="95"/>
                <w:sz w:val="15"/>
              </w:rPr>
              <w:t>0.05</w:t>
            </w:r>
          </w:p>
        </w:tc>
      </w:tr>
      <w:tr w:rsidR="00F65DFC" w14:paraId="3152B1B4" w14:textId="77777777" w:rsidTr="007A4637">
        <w:trPr>
          <w:trHeight w:val="171"/>
        </w:trPr>
        <w:tc>
          <w:tcPr>
            <w:tcW w:w="3929" w:type="dxa"/>
          </w:tcPr>
          <w:p w14:paraId="6182F399" w14:textId="77777777" w:rsidR="00F65DFC" w:rsidRDefault="00F65DFC" w:rsidP="007A4637">
            <w:pPr>
              <w:pStyle w:val="TableParagraph"/>
              <w:spacing w:line="151" w:lineRule="exact"/>
              <w:ind w:left="-1"/>
              <w:rPr>
                <w:sz w:val="15"/>
              </w:rPr>
            </w:pPr>
            <w:r>
              <w:rPr>
                <w:w w:val="95"/>
                <w:sz w:val="15"/>
              </w:rPr>
              <w:t>Private</w:t>
            </w:r>
            <w:r>
              <w:rPr>
                <w:spacing w:val="15"/>
                <w:w w:val="95"/>
                <w:sz w:val="15"/>
              </w:rPr>
              <w:t xml:space="preserve"> </w:t>
            </w:r>
            <w:r>
              <w:rPr>
                <w:w w:val="95"/>
                <w:sz w:val="15"/>
              </w:rPr>
              <w:t>company</w:t>
            </w:r>
          </w:p>
        </w:tc>
        <w:tc>
          <w:tcPr>
            <w:tcW w:w="803" w:type="dxa"/>
          </w:tcPr>
          <w:p w14:paraId="77C80D98" w14:textId="77777777" w:rsidR="00F65DFC" w:rsidRDefault="00F65DFC" w:rsidP="007A4637">
            <w:pPr>
              <w:pStyle w:val="TableParagraph"/>
              <w:spacing w:line="151" w:lineRule="exact"/>
              <w:ind w:left="205" w:right="205"/>
              <w:jc w:val="center"/>
              <w:rPr>
                <w:sz w:val="15"/>
              </w:rPr>
            </w:pPr>
            <w:r>
              <w:rPr>
                <w:w w:val="95"/>
                <w:sz w:val="15"/>
              </w:rPr>
              <w:t>76.84</w:t>
            </w:r>
          </w:p>
        </w:tc>
        <w:tc>
          <w:tcPr>
            <w:tcW w:w="780" w:type="dxa"/>
          </w:tcPr>
          <w:p w14:paraId="50BE7854" w14:textId="77777777" w:rsidR="00F65DFC" w:rsidRDefault="00F65DFC" w:rsidP="007A4637">
            <w:pPr>
              <w:pStyle w:val="TableParagraph"/>
              <w:spacing w:line="151" w:lineRule="exact"/>
              <w:ind w:right="230"/>
              <w:jc w:val="right"/>
              <w:rPr>
                <w:sz w:val="15"/>
              </w:rPr>
            </w:pPr>
            <w:r>
              <w:rPr>
                <w:w w:val="95"/>
                <w:sz w:val="15"/>
              </w:rPr>
              <w:t>22.37</w:t>
            </w:r>
          </w:p>
        </w:tc>
        <w:tc>
          <w:tcPr>
            <w:tcW w:w="851" w:type="dxa"/>
          </w:tcPr>
          <w:p w14:paraId="361B0EF3" w14:textId="77777777" w:rsidR="00F65DFC" w:rsidRDefault="00F65DFC" w:rsidP="007A4637">
            <w:pPr>
              <w:pStyle w:val="TableParagraph"/>
              <w:rPr>
                <w:rFonts w:ascii="Times New Roman"/>
                <w:sz w:val="10"/>
              </w:rPr>
            </w:pPr>
          </w:p>
        </w:tc>
        <w:tc>
          <w:tcPr>
            <w:tcW w:w="548" w:type="dxa"/>
          </w:tcPr>
          <w:p w14:paraId="4719515A" w14:textId="77777777" w:rsidR="00F65DFC" w:rsidRDefault="00F65DFC" w:rsidP="007A4637">
            <w:pPr>
              <w:pStyle w:val="TableParagraph"/>
              <w:rPr>
                <w:rFonts w:ascii="Times New Roman"/>
                <w:sz w:val="10"/>
              </w:rPr>
            </w:pPr>
          </w:p>
        </w:tc>
      </w:tr>
      <w:tr w:rsidR="00F65DFC" w14:paraId="10ACABBD" w14:textId="77777777" w:rsidTr="007A4637">
        <w:trPr>
          <w:trHeight w:val="171"/>
        </w:trPr>
        <w:tc>
          <w:tcPr>
            <w:tcW w:w="3929" w:type="dxa"/>
          </w:tcPr>
          <w:p w14:paraId="4C780F38" w14:textId="77777777" w:rsidR="00F65DFC" w:rsidRDefault="00F65DFC" w:rsidP="007A4637">
            <w:pPr>
              <w:pStyle w:val="TableParagraph"/>
              <w:spacing w:line="152" w:lineRule="exact"/>
              <w:ind w:left="-1"/>
              <w:rPr>
                <w:sz w:val="15"/>
              </w:rPr>
            </w:pPr>
            <w:r>
              <w:rPr>
                <w:w w:val="95"/>
                <w:sz w:val="15"/>
              </w:rPr>
              <w:t>Government-owned,</w:t>
            </w:r>
            <w:r>
              <w:rPr>
                <w:spacing w:val="3"/>
                <w:w w:val="95"/>
                <w:sz w:val="15"/>
              </w:rPr>
              <w:t xml:space="preserve"> </w:t>
            </w:r>
            <w:r>
              <w:rPr>
                <w:w w:val="95"/>
                <w:sz w:val="15"/>
              </w:rPr>
              <w:t>public</w:t>
            </w:r>
            <w:r>
              <w:rPr>
                <w:spacing w:val="3"/>
                <w:w w:val="95"/>
                <w:sz w:val="15"/>
              </w:rPr>
              <w:t xml:space="preserve"> </w:t>
            </w:r>
            <w:r>
              <w:rPr>
                <w:w w:val="95"/>
                <w:sz w:val="15"/>
              </w:rPr>
              <w:t>sector,</w:t>
            </w:r>
            <w:r>
              <w:rPr>
                <w:spacing w:val="2"/>
                <w:w w:val="95"/>
                <w:sz w:val="15"/>
              </w:rPr>
              <w:t xml:space="preserve"> </w:t>
            </w:r>
            <w:r>
              <w:rPr>
                <w:w w:val="95"/>
                <w:sz w:val="15"/>
              </w:rPr>
              <w:t>political</w:t>
            </w:r>
            <w:r>
              <w:rPr>
                <w:spacing w:val="2"/>
                <w:w w:val="95"/>
                <w:sz w:val="15"/>
              </w:rPr>
              <w:t xml:space="preserve"> </w:t>
            </w:r>
            <w:r>
              <w:rPr>
                <w:w w:val="95"/>
                <w:sz w:val="15"/>
              </w:rPr>
              <w:t>organization</w:t>
            </w:r>
          </w:p>
        </w:tc>
        <w:tc>
          <w:tcPr>
            <w:tcW w:w="803" w:type="dxa"/>
          </w:tcPr>
          <w:p w14:paraId="34ECC677" w14:textId="77777777" w:rsidR="00F65DFC" w:rsidRDefault="00F65DFC" w:rsidP="007A4637">
            <w:pPr>
              <w:pStyle w:val="TableParagraph"/>
              <w:spacing w:line="152" w:lineRule="exact"/>
              <w:ind w:left="205" w:right="205"/>
              <w:jc w:val="center"/>
              <w:rPr>
                <w:sz w:val="15"/>
              </w:rPr>
            </w:pPr>
            <w:r>
              <w:rPr>
                <w:w w:val="95"/>
                <w:sz w:val="15"/>
              </w:rPr>
              <w:t>76.66</w:t>
            </w:r>
          </w:p>
        </w:tc>
        <w:tc>
          <w:tcPr>
            <w:tcW w:w="780" w:type="dxa"/>
          </w:tcPr>
          <w:p w14:paraId="7A868504" w14:textId="77777777" w:rsidR="00F65DFC" w:rsidRDefault="00F65DFC" w:rsidP="007A4637">
            <w:pPr>
              <w:pStyle w:val="TableParagraph"/>
              <w:spacing w:line="152" w:lineRule="exact"/>
              <w:ind w:right="230"/>
              <w:jc w:val="right"/>
              <w:rPr>
                <w:sz w:val="15"/>
              </w:rPr>
            </w:pPr>
            <w:r>
              <w:rPr>
                <w:w w:val="95"/>
                <w:sz w:val="15"/>
              </w:rPr>
              <w:t>22.45</w:t>
            </w:r>
          </w:p>
        </w:tc>
        <w:tc>
          <w:tcPr>
            <w:tcW w:w="851" w:type="dxa"/>
          </w:tcPr>
          <w:p w14:paraId="15A9D6BA" w14:textId="77777777" w:rsidR="00F65DFC" w:rsidRDefault="00F65DFC" w:rsidP="007A4637">
            <w:pPr>
              <w:pStyle w:val="TableParagraph"/>
              <w:rPr>
                <w:rFonts w:ascii="Times New Roman"/>
                <w:sz w:val="10"/>
              </w:rPr>
            </w:pPr>
          </w:p>
        </w:tc>
        <w:tc>
          <w:tcPr>
            <w:tcW w:w="548" w:type="dxa"/>
          </w:tcPr>
          <w:p w14:paraId="2F9F632E" w14:textId="77777777" w:rsidR="00F65DFC" w:rsidRDefault="00F65DFC" w:rsidP="007A4637">
            <w:pPr>
              <w:pStyle w:val="TableParagraph"/>
              <w:rPr>
                <w:rFonts w:ascii="Times New Roman"/>
                <w:sz w:val="10"/>
              </w:rPr>
            </w:pPr>
          </w:p>
        </w:tc>
      </w:tr>
      <w:tr w:rsidR="00F65DFC" w14:paraId="52D5FEC8" w14:textId="77777777" w:rsidTr="007A4637">
        <w:trPr>
          <w:trHeight w:val="171"/>
        </w:trPr>
        <w:tc>
          <w:tcPr>
            <w:tcW w:w="3929" w:type="dxa"/>
          </w:tcPr>
          <w:p w14:paraId="4B4524D6" w14:textId="77777777" w:rsidR="00F65DFC" w:rsidRDefault="00F65DFC" w:rsidP="007A4637">
            <w:pPr>
              <w:pStyle w:val="TableParagraph"/>
              <w:spacing w:line="151" w:lineRule="exact"/>
              <w:ind w:left="-1"/>
              <w:rPr>
                <w:sz w:val="15"/>
              </w:rPr>
            </w:pPr>
            <w:r>
              <w:rPr>
                <w:w w:val="95"/>
                <w:sz w:val="15"/>
              </w:rPr>
              <w:t>Non-profit</w:t>
            </w:r>
            <w:r>
              <w:rPr>
                <w:spacing w:val="4"/>
                <w:w w:val="95"/>
                <w:sz w:val="15"/>
              </w:rPr>
              <w:t xml:space="preserve"> </w:t>
            </w:r>
            <w:r>
              <w:rPr>
                <w:w w:val="95"/>
                <w:sz w:val="15"/>
              </w:rPr>
              <w:t>organization,</w:t>
            </w:r>
            <w:r>
              <w:rPr>
                <w:spacing w:val="4"/>
                <w:w w:val="95"/>
                <w:sz w:val="15"/>
              </w:rPr>
              <w:t xml:space="preserve"> </w:t>
            </w:r>
            <w:r>
              <w:rPr>
                <w:w w:val="95"/>
                <w:sz w:val="15"/>
              </w:rPr>
              <w:t>association</w:t>
            </w:r>
          </w:p>
        </w:tc>
        <w:tc>
          <w:tcPr>
            <w:tcW w:w="803" w:type="dxa"/>
          </w:tcPr>
          <w:p w14:paraId="36A301E8" w14:textId="77777777" w:rsidR="00F65DFC" w:rsidRDefault="00F65DFC" w:rsidP="007A4637">
            <w:pPr>
              <w:pStyle w:val="TableParagraph"/>
              <w:spacing w:line="151" w:lineRule="exact"/>
              <w:ind w:left="205" w:right="205"/>
              <w:jc w:val="center"/>
              <w:rPr>
                <w:sz w:val="15"/>
              </w:rPr>
            </w:pPr>
            <w:r>
              <w:rPr>
                <w:w w:val="95"/>
                <w:sz w:val="15"/>
              </w:rPr>
              <w:t>78.92</w:t>
            </w:r>
          </w:p>
        </w:tc>
        <w:tc>
          <w:tcPr>
            <w:tcW w:w="780" w:type="dxa"/>
          </w:tcPr>
          <w:p w14:paraId="268CE4CB" w14:textId="77777777" w:rsidR="00F65DFC" w:rsidRDefault="00F65DFC" w:rsidP="007A4637">
            <w:pPr>
              <w:pStyle w:val="TableParagraph"/>
              <w:spacing w:line="151" w:lineRule="exact"/>
              <w:ind w:right="230"/>
              <w:jc w:val="right"/>
              <w:rPr>
                <w:sz w:val="15"/>
              </w:rPr>
            </w:pPr>
            <w:r>
              <w:rPr>
                <w:w w:val="95"/>
                <w:sz w:val="15"/>
              </w:rPr>
              <w:t>21.20</w:t>
            </w:r>
          </w:p>
        </w:tc>
        <w:tc>
          <w:tcPr>
            <w:tcW w:w="851" w:type="dxa"/>
          </w:tcPr>
          <w:p w14:paraId="06320C7A" w14:textId="77777777" w:rsidR="00F65DFC" w:rsidRDefault="00F65DFC" w:rsidP="007A4637">
            <w:pPr>
              <w:pStyle w:val="TableParagraph"/>
              <w:rPr>
                <w:rFonts w:ascii="Times New Roman"/>
                <w:sz w:val="10"/>
              </w:rPr>
            </w:pPr>
          </w:p>
        </w:tc>
        <w:tc>
          <w:tcPr>
            <w:tcW w:w="548" w:type="dxa"/>
          </w:tcPr>
          <w:p w14:paraId="491557CC" w14:textId="77777777" w:rsidR="00F65DFC" w:rsidRDefault="00F65DFC" w:rsidP="007A4637">
            <w:pPr>
              <w:pStyle w:val="TableParagraph"/>
              <w:rPr>
                <w:rFonts w:ascii="Times New Roman"/>
                <w:sz w:val="10"/>
              </w:rPr>
            </w:pPr>
          </w:p>
        </w:tc>
      </w:tr>
      <w:tr w:rsidR="00F65DFC" w14:paraId="00C85525" w14:textId="77777777" w:rsidTr="007A4637">
        <w:trPr>
          <w:trHeight w:val="171"/>
        </w:trPr>
        <w:tc>
          <w:tcPr>
            <w:tcW w:w="3929" w:type="dxa"/>
          </w:tcPr>
          <w:p w14:paraId="769C180B" w14:textId="77777777" w:rsidR="00F65DFC" w:rsidRDefault="00F65DFC" w:rsidP="007A4637">
            <w:pPr>
              <w:pStyle w:val="TableParagraph"/>
              <w:spacing w:line="151" w:lineRule="exact"/>
              <w:ind w:left="-1"/>
              <w:rPr>
                <w:sz w:val="15"/>
              </w:rPr>
            </w:pPr>
            <w:r>
              <w:rPr>
                <w:w w:val="95"/>
                <w:sz w:val="15"/>
              </w:rPr>
              <w:t>Communication</w:t>
            </w:r>
            <w:r>
              <w:rPr>
                <w:spacing w:val="19"/>
                <w:w w:val="95"/>
                <w:sz w:val="15"/>
              </w:rPr>
              <w:t xml:space="preserve"> </w:t>
            </w:r>
            <w:r>
              <w:rPr>
                <w:w w:val="95"/>
                <w:sz w:val="15"/>
              </w:rPr>
              <w:t>consultancy,</w:t>
            </w:r>
            <w:r>
              <w:rPr>
                <w:spacing w:val="19"/>
                <w:w w:val="95"/>
                <w:sz w:val="15"/>
              </w:rPr>
              <w:t xml:space="preserve"> </w:t>
            </w:r>
            <w:r>
              <w:rPr>
                <w:w w:val="95"/>
                <w:sz w:val="15"/>
              </w:rPr>
              <w:t>PR</w:t>
            </w:r>
            <w:r>
              <w:rPr>
                <w:spacing w:val="19"/>
                <w:w w:val="95"/>
                <w:sz w:val="15"/>
              </w:rPr>
              <w:t xml:space="preserve"> </w:t>
            </w:r>
            <w:r>
              <w:rPr>
                <w:w w:val="95"/>
                <w:sz w:val="15"/>
              </w:rPr>
              <w:t>agency,</w:t>
            </w:r>
          </w:p>
        </w:tc>
        <w:tc>
          <w:tcPr>
            <w:tcW w:w="803" w:type="dxa"/>
          </w:tcPr>
          <w:p w14:paraId="5D535295" w14:textId="77777777" w:rsidR="00F65DFC" w:rsidRDefault="00F65DFC" w:rsidP="007A4637">
            <w:pPr>
              <w:pStyle w:val="TableParagraph"/>
              <w:spacing w:line="151" w:lineRule="exact"/>
              <w:ind w:left="205" w:right="205"/>
              <w:jc w:val="center"/>
              <w:rPr>
                <w:sz w:val="15"/>
              </w:rPr>
            </w:pPr>
            <w:r>
              <w:rPr>
                <w:w w:val="95"/>
                <w:sz w:val="15"/>
              </w:rPr>
              <w:t>77.24</w:t>
            </w:r>
          </w:p>
        </w:tc>
        <w:tc>
          <w:tcPr>
            <w:tcW w:w="780" w:type="dxa"/>
          </w:tcPr>
          <w:p w14:paraId="6094103E" w14:textId="77777777" w:rsidR="00F65DFC" w:rsidRDefault="00F65DFC" w:rsidP="007A4637">
            <w:pPr>
              <w:pStyle w:val="TableParagraph"/>
              <w:spacing w:line="151" w:lineRule="exact"/>
              <w:ind w:right="230"/>
              <w:jc w:val="right"/>
              <w:rPr>
                <w:sz w:val="15"/>
              </w:rPr>
            </w:pPr>
            <w:r>
              <w:rPr>
                <w:w w:val="95"/>
                <w:sz w:val="15"/>
              </w:rPr>
              <w:t>22.77</w:t>
            </w:r>
          </w:p>
        </w:tc>
        <w:tc>
          <w:tcPr>
            <w:tcW w:w="851" w:type="dxa"/>
          </w:tcPr>
          <w:p w14:paraId="2B400CDE" w14:textId="77777777" w:rsidR="00F65DFC" w:rsidRDefault="00F65DFC" w:rsidP="007A4637">
            <w:pPr>
              <w:pStyle w:val="TableParagraph"/>
              <w:rPr>
                <w:rFonts w:ascii="Times New Roman"/>
                <w:sz w:val="10"/>
              </w:rPr>
            </w:pPr>
          </w:p>
        </w:tc>
        <w:tc>
          <w:tcPr>
            <w:tcW w:w="548" w:type="dxa"/>
          </w:tcPr>
          <w:p w14:paraId="533A5B2B" w14:textId="77777777" w:rsidR="00F65DFC" w:rsidRDefault="00F65DFC" w:rsidP="007A4637">
            <w:pPr>
              <w:pStyle w:val="TableParagraph"/>
              <w:rPr>
                <w:rFonts w:ascii="Times New Roman"/>
                <w:sz w:val="10"/>
              </w:rPr>
            </w:pPr>
          </w:p>
        </w:tc>
      </w:tr>
      <w:tr w:rsidR="00F65DFC" w14:paraId="27B289EE" w14:textId="77777777" w:rsidTr="007A4637">
        <w:trPr>
          <w:trHeight w:val="230"/>
        </w:trPr>
        <w:tc>
          <w:tcPr>
            <w:tcW w:w="3929" w:type="dxa"/>
          </w:tcPr>
          <w:p w14:paraId="20771BB9" w14:textId="77777777" w:rsidR="00F65DFC" w:rsidRDefault="00F65DFC" w:rsidP="007A4637">
            <w:pPr>
              <w:pStyle w:val="TableParagraph"/>
              <w:ind w:left="-1"/>
              <w:rPr>
                <w:sz w:val="15"/>
              </w:rPr>
            </w:pPr>
            <w:r>
              <w:rPr>
                <w:w w:val="95"/>
                <w:sz w:val="15"/>
              </w:rPr>
              <w:t>Freelance</w:t>
            </w:r>
            <w:r>
              <w:rPr>
                <w:spacing w:val="5"/>
                <w:w w:val="95"/>
                <w:sz w:val="15"/>
              </w:rPr>
              <w:t xml:space="preserve"> </w:t>
            </w:r>
            <w:r>
              <w:rPr>
                <w:w w:val="95"/>
                <w:sz w:val="15"/>
              </w:rPr>
              <w:t>consultant</w:t>
            </w:r>
          </w:p>
        </w:tc>
        <w:tc>
          <w:tcPr>
            <w:tcW w:w="803" w:type="dxa"/>
          </w:tcPr>
          <w:p w14:paraId="146F534A" w14:textId="77777777" w:rsidR="00F65DFC" w:rsidRDefault="00F65DFC" w:rsidP="007A4637">
            <w:pPr>
              <w:pStyle w:val="TableParagraph"/>
              <w:ind w:left="205" w:right="205"/>
              <w:jc w:val="center"/>
              <w:rPr>
                <w:sz w:val="15"/>
              </w:rPr>
            </w:pPr>
            <w:r>
              <w:rPr>
                <w:w w:val="95"/>
                <w:sz w:val="15"/>
              </w:rPr>
              <w:t>76.91</w:t>
            </w:r>
          </w:p>
        </w:tc>
        <w:tc>
          <w:tcPr>
            <w:tcW w:w="780" w:type="dxa"/>
          </w:tcPr>
          <w:p w14:paraId="0DDAFD03" w14:textId="77777777" w:rsidR="00F65DFC" w:rsidRDefault="00F65DFC" w:rsidP="007A4637">
            <w:pPr>
              <w:pStyle w:val="TableParagraph"/>
              <w:ind w:right="230"/>
              <w:jc w:val="right"/>
              <w:rPr>
                <w:sz w:val="15"/>
              </w:rPr>
            </w:pPr>
            <w:r>
              <w:rPr>
                <w:w w:val="95"/>
                <w:sz w:val="15"/>
              </w:rPr>
              <w:t>21.45</w:t>
            </w:r>
          </w:p>
        </w:tc>
        <w:tc>
          <w:tcPr>
            <w:tcW w:w="851" w:type="dxa"/>
          </w:tcPr>
          <w:p w14:paraId="252923FC" w14:textId="77777777" w:rsidR="00F65DFC" w:rsidRDefault="00F65DFC" w:rsidP="007A4637">
            <w:pPr>
              <w:pStyle w:val="TableParagraph"/>
              <w:rPr>
                <w:rFonts w:ascii="Times New Roman"/>
                <w:sz w:val="14"/>
              </w:rPr>
            </w:pPr>
          </w:p>
        </w:tc>
        <w:tc>
          <w:tcPr>
            <w:tcW w:w="548" w:type="dxa"/>
          </w:tcPr>
          <w:p w14:paraId="36564C1B" w14:textId="77777777" w:rsidR="00F65DFC" w:rsidRDefault="00F65DFC" w:rsidP="007A4637">
            <w:pPr>
              <w:pStyle w:val="TableParagraph"/>
              <w:rPr>
                <w:rFonts w:ascii="Times New Roman"/>
                <w:sz w:val="14"/>
              </w:rPr>
            </w:pPr>
          </w:p>
        </w:tc>
      </w:tr>
      <w:tr w:rsidR="00F65DFC" w14:paraId="62B487B2" w14:textId="77777777" w:rsidTr="007A4637">
        <w:trPr>
          <w:trHeight w:val="403"/>
        </w:trPr>
        <w:tc>
          <w:tcPr>
            <w:tcW w:w="3929" w:type="dxa"/>
          </w:tcPr>
          <w:p w14:paraId="076230A7" w14:textId="77777777" w:rsidR="00F65DFC" w:rsidRDefault="00F65DFC" w:rsidP="007A4637">
            <w:pPr>
              <w:pStyle w:val="TableParagraph"/>
              <w:spacing w:before="59" w:line="174" w:lineRule="exact"/>
              <w:ind w:left="-1"/>
              <w:rPr>
                <w:i/>
                <w:sz w:val="15"/>
              </w:rPr>
            </w:pPr>
            <w:r>
              <w:rPr>
                <w:i/>
                <w:w w:val="95"/>
                <w:sz w:val="15"/>
              </w:rPr>
              <w:t>Social</w:t>
            </w:r>
            <w:r>
              <w:rPr>
                <w:i/>
                <w:spacing w:val="7"/>
                <w:w w:val="95"/>
                <w:sz w:val="15"/>
              </w:rPr>
              <w:t xml:space="preserve"> </w:t>
            </w:r>
            <w:r>
              <w:rPr>
                <w:i/>
                <w:w w:val="95"/>
                <w:sz w:val="15"/>
              </w:rPr>
              <w:t>media</w:t>
            </w:r>
            <w:r>
              <w:rPr>
                <w:i/>
                <w:spacing w:val="9"/>
                <w:w w:val="95"/>
                <w:sz w:val="15"/>
              </w:rPr>
              <w:t xml:space="preserve"> </w:t>
            </w:r>
            <w:r>
              <w:rPr>
                <w:i/>
                <w:w w:val="95"/>
                <w:sz w:val="15"/>
              </w:rPr>
              <w:t>skills</w:t>
            </w:r>
          </w:p>
          <w:p w14:paraId="5CF12B31" w14:textId="77777777" w:rsidR="00F65DFC" w:rsidRDefault="00F65DFC" w:rsidP="007A4637">
            <w:pPr>
              <w:pStyle w:val="TableParagraph"/>
              <w:spacing w:line="150" w:lineRule="exact"/>
              <w:ind w:left="-1"/>
              <w:rPr>
                <w:sz w:val="15"/>
              </w:rPr>
            </w:pPr>
            <w:r>
              <w:rPr>
                <w:w w:val="95"/>
                <w:sz w:val="15"/>
              </w:rPr>
              <w:t>Very</w:t>
            </w:r>
            <w:r>
              <w:rPr>
                <w:spacing w:val="11"/>
                <w:w w:val="95"/>
                <w:sz w:val="15"/>
              </w:rPr>
              <w:t xml:space="preserve"> </w:t>
            </w:r>
            <w:r>
              <w:rPr>
                <w:w w:val="95"/>
                <w:sz w:val="15"/>
              </w:rPr>
              <w:t>low</w:t>
            </w:r>
            <w:r>
              <w:rPr>
                <w:spacing w:val="10"/>
                <w:w w:val="95"/>
                <w:sz w:val="15"/>
              </w:rPr>
              <w:t xml:space="preserve"> </w:t>
            </w:r>
            <w:r>
              <w:rPr>
                <w:w w:val="95"/>
                <w:sz w:val="15"/>
              </w:rPr>
              <w:t>development</w:t>
            </w:r>
            <w:r>
              <w:rPr>
                <w:spacing w:val="12"/>
                <w:w w:val="95"/>
                <w:sz w:val="15"/>
              </w:rPr>
              <w:t xml:space="preserve"> </w:t>
            </w:r>
            <w:r>
              <w:rPr>
                <w:w w:val="95"/>
                <w:sz w:val="15"/>
              </w:rPr>
              <w:t>of</w:t>
            </w:r>
            <w:r>
              <w:rPr>
                <w:spacing w:val="10"/>
                <w:w w:val="95"/>
                <w:sz w:val="15"/>
              </w:rPr>
              <w:t xml:space="preserve"> </w:t>
            </w:r>
            <w:r>
              <w:rPr>
                <w:w w:val="95"/>
                <w:sz w:val="15"/>
              </w:rPr>
              <w:t>social</w:t>
            </w:r>
            <w:r>
              <w:rPr>
                <w:spacing w:val="11"/>
                <w:w w:val="95"/>
                <w:sz w:val="15"/>
              </w:rPr>
              <w:t xml:space="preserve"> </w:t>
            </w:r>
            <w:r>
              <w:rPr>
                <w:w w:val="95"/>
                <w:sz w:val="15"/>
              </w:rPr>
              <w:t>media</w:t>
            </w:r>
            <w:r>
              <w:rPr>
                <w:spacing w:val="10"/>
                <w:w w:val="95"/>
                <w:sz w:val="15"/>
              </w:rPr>
              <w:t xml:space="preserve"> </w:t>
            </w:r>
            <w:r>
              <w:rPr>
                <w:w w:val="95"/>
                <w:sz w:val="15"/>
              </w:rPr>
              <w:t>skills</w:t>
            </w:r>
          </w:p>
        </w:tc>
        <w:tc>
          <w:tcPr>
            <w:tcW w:w="803" w:type="dxa"/>
          </w:tcPr>
          <w:p w14:paraId="2B12DD4E" w14:textId="77777777" w:rsidR="00F65DFC" w:rsidRDefault="00F65DFC" w:rsidP="007A4637">
            <w:pPr>
              <w:pStyle w:val="TableParagraph"/>
              <w:spacing w:before="8"/>
              <w:rPr>
                <w:sz w:val="19"/>
              </w:rPr>
            </w:pPr>
          </w:p>
          <w:p w14:paraId="0DC0BF66" w14:textId="77777777" w:rsidR="00F65DFC" w:rsidRDefault="00F65DFC" w:rsidP="007A4637">
            <w:pPr>
              <w:pStyle w:val="TableParagraph"/>
              <w:spacing w:before="1" w:line="151" w:lineRule="exact"/>
              <w:ind w:left="205" w:right="205"/>
              <w:jc w:val="center"/>
              <w:rPr>
                <w:sz w:val="15"/>
              </w:rPr>
            </w:pPr>
            <w:r>
              <w:rPr>
                <w:w w:val="95"/>
                <w:sz w:val="15"/>
              </w:rPr>
              <w:t>73.84</w:t>
            </w:r>
          </w:p>
        </w:tc>
        <w:tc>
          <w:tcPr>
            <w:tcW w:w="780" w:type="dxa"/>
          </w:tcPr>
          <w:p w14:paraId="367B592A" w14:textId="77777777" w:rsidR="00F65DFC" w:rsidRDefault="00F65DFC" w:rsidP="007A4637">
            <w:pPr>
              <w:pStyle w:val="TableParagraph"/>
              <w:spacing w:before="8"/>
              <w:rPr>
                <w:sz w:val="19"/>
              </w:rPr>
            </w:pPr>
          </w:p>
          <w:p w14:paraId="35186112" w14:textId="77777777" w:rsidR="00F65DFC" w:rsidRDefault="00F65DFC" w:rsidP="007A4637">
            <w:pPr>
              <w:pStyle w:val="TableParagraph"/>
              <w:spacing w:before="1" w:line="151" w:lineRule="exact"/>
              <w:ind w:right="230"/>
              <w:jc w:val="right"/>
              <w:rPr>
                <w:sz w:val="15"/>
              </w:rPr>
            </w:pPr>
            <w:r>
              <w:rPr>
                <w:w w:val="95"/>
                <w:sz w:val="15"/>
              </w:rPr>
              <w:t>23.34</w:t>
            </w:r>
          </w:p>
        </w:tc>
        <w:tc>
          <w:tcPr>
            <w:tcW w:w="851" w:type="dxa"/>
          </w:tcPr>
          <w:p w14:paraId="0350CDF4" w14:textId="77777777" w:rsidR="00F65DFC" w:rsidRDefault="00F65DFC" w:rsidP="007A4637">
            <w:pPr>
              <w:pStyle w:val="TableParagraph"/>
              <w:spacing w:before="8"/>
              <w:rPr>
                <w:sz w:val="19"/>
              </w:rPr>
            </w:pPr>
          </w:p>
          <w:p w14:paraId="4DF9B805" w14:textId="77777777" w:rsidR="00F65DFC" w:rsidRDefault="00F65DFC" w:rsidP="007A4637">
            <w:pPr>
              <w:pStyle w:val="TableParagraph"/>
              <w:spacing w:before="1" w:line="151" w:lineRule="exact"/>
              <w:ind w:right="228"/>
              <w:jc w:val="right"/>
              <w:rPr>
                <w:sz w:val="15"/>
              </w:rPr>
            </w:pPr>
            <w:r>
              <w:rPr>
                <w:w w:val="95"/>
                <w:sz w:val="15"/>
              </w:rPr>
              <w:t>1.351</w:t>
            </w:r>
          </w:p>
        </w:tc>
        <w:tc>
          <w:tcPr>
            <w:tcW w:w="548" w:type="dxa"/>
          </w:tcPr>
          <w:p w14:paraId="0015825F" w14:textId="77777777" w:rsidR="00F65DFC" w:rsidRDefault="00F65DFC" w:rsidP="007A4637">
            <w:pPr>
              <w:pStyle w:val="TableParagraph"/>
              <w:spacing w:before="8"/>
              <w:rPr>
                <w:sz w:val="19"/>
              </w:rPr>
            </w:pPr>
          </w:p>
          <w:p w14:paraId="543725DE" w14:textId="77777777" w:rsidR="00F65DFC" w:rsidRDefault="00F65DFC" w:rsidP="007A4637">
            <w:pPr>
              <w:pStyle w:val="TableParagraph"/>
              <w:spacing w:before="1" w:line="151" w:lineRule="exact"/>
              <w:ind w:right="-15"/>
              <w:jc w:val="right"/>
              <w:rPr>
                <w:sz w:val="15"/>
              </w:rPr>
            </w:pPr>
            <w:r>
              <w:rPr>
                <w:w w:val="95"/>
                <w:sz w:val="15"/>
              </w:rPr>
              <w:t>0.018</w:t>
            </w:r>
          </w:p>
        </w:tc>
      </w:tr>
      <w:tr w:rsidR="00F65DFC" w14:paraId="2441335E" w14:textId="77777777" w:rsidTr="007A4637">
        <w:trPr>
          <w:trHeight w:val="171"/>
        </w:trPr>
        <w:tc>
          <w:tcPr>
            <w:tcW w:w="3929" w:type="dxa"/>
          </w:tcPr>
          <w:p w14:paraId="42C69B2B" w14:textId="77777777" w:rsidR="00F65DFC" w:rsidRDefault="00F65DFC" w:rsidP="007A4637">
            <w:pPr>
              <w:pStyle w:val="TableParagraph"/>
              <w:spacing w:line="151" w:lineRule="exact"/>
              <w:ind w:left="-1"/>
              <w:rPr>
                <w:sz w:val="15"/>
              </w:rPr>
            </w:pPr>
            <w:r>
              <w:rPr>
                <w:w w:val="95"/>
                <w:sz w:val="15"/>
              </w:rPr>
              <w:t>Low</w:t>
            </w:r>
            <w:r>
              <w:rPr>
                <w:spacing w:val="10"/>
                <w:w w:val="95"/>
                <w:sz w:val="15"/>
              </w:rPr>
              <w:t xml:space="preserve"> </w:t>
            </w:r>
            <w:r>
              <w:rPr>
                <w:w w:val="95"/>
                <w:sz w:val="15"/>
              </w:rPr>
              <w:t>development</w:t>
            </w:r>
            <w:r>
              <w:rPr>
                <w:spacing w:val="9"/>
                <w:w w:val="95"/>
                <w:sz w:val="15"/>
              </w:rPr>
              <w:t xml:space="preserve"> </w:t>
            </w:r>
            <w:r>
              <w:rPr>
                <w:w w:val="95"/>
                <w:sz w:val="15"/>
              </w:rPr>
              <w:t>of</w:t>
            </w:r>
            <w:r>
              <w:rPr>
                <w:spacing w:val="10"/>
                <w:w w:val="95"/>
                <w:sz w:val="15"/>
              </w:rPr>
              <w:t xml:space="preserve"> </w:t>
            </w:r>
            <w:r>
              <w:rPr>
                <w:w w:val="95"/>
                <w:sz w:val="15"/>
              </w:rPr>
              <w:t>social</w:t>
            </w:r>
            <w:r>
              <w:rPr>
                <w:spacing w:val="9"/>
                <w:w w:val="95"/>
                <w:sz w:val="15"/>
              </w:rPr>
              <w:t xml:space="preserve"> </w:t>
            </w:r>
            <w:r>
              <w:rPr>
                <w:w w:val="95"/>
                <w:sz w:val="15"/>
              </w:rPr>
              <w:t>media</w:t>
            </w:r>
            <w:r>
              <w:rPr>
                <w:spacing w:val="10"/>
                <w:w w:val="95"/>
                <w:sz w:val="15"/>
              </w:rPr>
              <w:t xml:space="preserve"> </w:t>
            </w:r>
            <w:r>
              <w:rPr>
                <w:w w:val="95"/>
                <w:sz w:val="15"/>
              </w:rPr>
              <w:t>skills</w:t>
            </w:r>
          </w:p>
        </w:tc>
        <w:tc>
          <w:tcPr>
            <w:tcW w:w="803" w:type="dxa"/>
          </w:tcPr>
          <w:p w14:paraId="583BA2DA" w14:textId="77777777" w:rsidR="00F65DFC" w:rsidRDefault="00F65DFC" w:rsidP="007A4637">
            <w:pPr>
              <w:pStyle w:val="TableParagraph"/>
              <w:spacing w:line="151" w:lineRule="exact"/>
              <w:ind w:left="205" w:right="205"/>
              <w:jc w:val="center"/>
              <w:rPr>
                <w:sz w:val="15"/>
              </w:rPr>
            </w:pPr>
            <w:r>
              <w:rPr>
                <w:w w:val="95"/>
                <w:sz w:val="15"/>
              </w:rPr>
              <w:t>74.23</w:t>
            </w:r>
          </w:p>
        </w:tc>
        <w:tc>
          <w:tcPr>
            <w:tcW w:w="780" w:type="dxa"/>
          </w:tcPr>
          <w:p w14:paraId="02E3640F" w14:textId="77777777" w:rsidR="00F65DFC" w:rsidRDefault="00F65DFC" w:rsidP="007A4637">
            <w:pPr>
              <w:pStyle w:val="TableParagraph"/>
              <w:spacing w:line="151" w:lineRule="exact"/>
              <w:ind w:right="230"/>
              <w:jc w:val="right"/>
              <w:rPr>
                <w:sz w:val="15"/>
              </w:rPr>
            </w:pPr>
            <w:r>
              <w:rPr>
                <w:w w:val="95"/>
                <w:sz w:val="15"/>
              </w:rPr>
              <w:t>23.47</w:t>
            </w:r>
          </w:p>
        </w:tc>
        <w:tc>
          <w:tcPr>
            <w:tcW w:w="851" w:type="dxa"/>
          </w:tcPr>
          <w:p w14:paraId="68824546" w14:textId="77777777" w:rsidR="00F65DFC" w:rsidRDefault="00F65DFC" w:rsidP="007A4637">
            <w:pPr>
              <w:pStyle w:val="TableParagraph"/>
              <w:rPr>
                <w:rFonts w:ascii="Times New Roman"/>
                <w:sz w:val="10"/>
              </w:rPr>
            </w:pPr>
          </w:p>
        </w:tc>
        <w:tc>
          <w:tcPr>
            <w:tcW w:w="548" w:type="dxa"/>
          </w:tcPr>
          <w:p w14:paraId="68A8869D" w14:textId="77777777" w:rsidR="00F65DFC" w:rsidRDefault="00F65DFC" w:rsidP="007A4637">
            <w:pPr>
              <w:pStyle w:val="TableParagraph"/>
              <w:rPr>
                <w:rFonts w:ascii="Times New Roman"/>
                <w:sz w:val="10"/>
              </w:rPr>
            </w:pPr>
          </w:p>
        </w:tc>
      </w:tr>
      <w:tr w:rsidR="00F65DFC" w14:paraId="711D0757" w14:textId="77777777" w:rsidTr="007A4637">
        <w:trPr>
          <w:trHeight w:val="171"/>
        </w:trPr>
        <w:tc>
          <w:tcPr>
            <w:tcW w:w="3929" w:type="dxa"/>
          </w:tcPr>
          <w:p w14:paraId="745C5A10" w14:textId="77777777" w:rsidR="00F65DFC" w:rsidRDefault="00F65DFC" w:rsidP="007A4637">
            <w:pPr>
              <w:pStyle w:val="TableParagraph"/>
              <w:spacing w:line="151" w:lineRule="exact"/>
              <w:ind w:left="-1"/>
              <w:rPr>
                <w:sz w:val="15"/>
              </w:rPr>
            </w:pPr>
            <w:r>
              <w:rPr>
                <w:w w:val="95"/>
                <w:sz w:val="15"/>
              </w:rPr>
              <w:t>Moderate</w:t>
            </w:r>
            <w:r>
              <w:rPr>
                <w:spacing w:val="6"/>
                <w:w w:val="95"/>
                <w:sz w:val="15"/>
              </w:rPr>
              <w:t xml:space="preserve"> </w:t>
            </w:r>
            <w:r>
              <w:rPr>
                <w:w w:val="95"/>
                <w:sz w:val="15"/>
              </w:rPr>
              <w:t>development</w:t>
            </w:r>
            <w:r>
              <w:rPr>
                <w:spacing w:val="7"/>
                <w:w w:val="95"/>
                <w:sz w:val="15"/>
              </w:rPr>
              <w:t xml:space="preserve"> </w:t>
            </w:r>
            <w:r>
              <w:rPr>
                <w:w w:val="95"/>
                <w:sz w:val="15"/>
              </w:rPr>
              <w:t>of</w:t>
            </w:r>
            <w:r>
              <w:rPr>
                <w:spacing w:val="7"/>
                <w:w w:val="95"/>
                <w:sz w:val="15"/>
              </w:rPr>
              <w:t xml:space="preserve"> </w:t>
            </w:r>
            <w:r>
              <w:rPr>
                <w:w w:val="95"/>
                <w:sz w:val="15"/>
              </w:rPr>
              <w:t>social</w:t>
            </w:r>
            <w:r>
              <w:rPr>
                <w:spacing w:val="8"/>
                <w:w w:val="95"/>
                <w:sz w:val="15"/>
              </w:rPr>
              <w:t xml:space="preserve"> </w:t>
            </w:r>
            <w:r>
              <w:rPr>
                <w:w w:val="95"/>
                <w:sz w:val="15"/>
              </w:rPr>
              <w:t>media</w:t>
            </w:r>
            <w:r>
              <w:rPr>
                <w:spacing w:val="8"/>
                <w:w w:val="95"/>
                <w:sz w:val="15"/>
              </w:rPr>
              <w:t xml:space="preserve"> </w:t>
            </w:r>
            <w:r>
              <w:rPr>
                <w:w w:val="95"/>
                <w:sz w:val="15"/>
              </w:rPr>
              <w:t>skills</w:t>
            </w:r>
          </w:p>
        </w:tc>
        <w:tc>
          <w:tcPr>
            <w:tcW w:w="803" w:type="dxa"/>
          </w:tcPr>
          <w:p w14:paraId="15F80B81" w14:textId="77777777" w:rsidR="00F65DFC" w:rsidRDefault="00F65DFC" w:rsidP="007A4637">
            <w:pPr>
              <w:pStyle w:val="TableParagraph"/>
              <w:spacing w:line="151" w:lineRule="exact"/>
              <w:ind w:left="205" w:right="205"/>
              <w:jc w:val="center"/>
              <w:rPr>
                <w:sz w:val="15"/>
              </w:rPr>
            </w:pPr>
            <w:r>
              <w:rPr>
                <w:w w:val="95"/>
                <w:sz w:val="15"/>
              </w:rPr>
              <w:t>76.41</w:t>
            </w:r>
          </w:p>
        </w:tc>
        <w:tc>
          <w:tcPr>
            <w:tcW w:w="780" w:type="dxa"/>
          </w:tcPr>
          <w:p w14:paraId="67DE18B8" w14:textId="77777777" w:rsidR="00F65DFC" w:rsidRDefault="00F65DFC" w:rsidP="007A4637">
            <w:pPr>
              <w:pStyle w:val="TableParagraph"/>
              <w:spacing w:line="151" w:lineRule="exact"/>
              <w:ind w:right="230"/>
              <w:jc w:val="right"/>
              <w:rPr>
                <w:sz w:val="15"/>
              </w:rPr>
            </w:pPr>
            <w:r>
              <w:rPr>
                <w:w w:val="95"/>
                <w:sz w:val="15"/>
              </w:rPr>
              <w:t>22.04</w:t>
            </w:r>
          </w:p>
        </w:tc>
        <w:tc>
          <w:tcPr>
            <w:tcW w:w="851" w:type="dxa"/>
          </w:tcPr>
          <w:p w14:paraId="4E674846" w14:textId="77777777" w:rsidR="00F65DFC" w:rsidRDefault="00F65DFC" w:rsidP="007A4637">
            <w:pPr>
              <w:pStyle w:val="TableParagraph"/>
              <w:rPr>
                <w:rFonts w:ascii="Times New Roman"/>
                <w:sz w:val="10"/>
              </w:rPr>
            </w:pPr>
          </w:p>
        </w:tc>
        <w:tc>
          <w:tcPr>
            <w:tcW w:w="548" w:type="dxa"/>
          </w:tcPr>
          <w:p w14:paraId="6B4C81D0" w14:textId="77777777" w:rsidR="00F65DFC" w:rsidRDefault="00F65DFC" w:rsidP="007A4637">
            <w:pPr>
              <w:pStyle w:val="TableParagraph"/>
              <w:rPr>
                <w:rFonts w:ascii="Times New Roman"/>
                <w:sz w:val="10"/>
              </w:rPr>
            </w:pPr>
          </w:p>
        </w:tc>
      </w:tr>
      <w:tr w:rsidR="00F65DFC" w14:paraId="2F23B455" w14:textId="77777777" w:rsidTr="007A4637">
        <w:trPr>
          <w:trHeight w:val="171"/>
        </w:trPr>
        <w:tc>
          <w:tcPr>
            <w:tcW w:w="3929" w:type="dxa"/>
          </w:tcPr>
          <w:p w14:paraId="01AF7B56" w14:textId="77777777" w:rsidR="00F65DFC" w:rsidRDefault="00F65DFC" w:rsidP="007A4637">
            <w:pPr>
              <w:pStyle w:val="TableParagraph"/>
              <w:spacing w:line="151" w:lineRule="exact"/>
              <w:ind w:left="-1"/>
              <w:rPr>
                <w:sz w:val="15"/>
              </w:rPr>
            </w:pPr>
            <w:r>
              <w:rPr>
                <w:w w:val="95"/>
                <w:sz w:val="15"/>
              </w:rPr>
              <w:t>High</w:t>
            </w:r>
            <w:r>
              <w:rPr>
                <w:spacing w:val="11"/>
                <w:w w:val="95"/>
                <w:sz w:val="15"/>
              </w:rPr>
              <w:t xml:space="preserve"> </w:t>
            </w:r>
            <w:r>
              <w:rPr>
                <w:w w:val="95"/>
                <w:sz w:val="15"/>
              </w:rPr>
              <w:t>development</w:t>
            </w:r>
            <w:r>
              <w:rPr>
                <w:spacing w:val="12"/>
                <w:w w:val="95"/>
                <w:sz w:val="15"/>
              </w:rPr>
              <w:t xml:space="preserve"> </w:t>
            </w:r>
            <w:r>
              <w:rPr>
                <w:w w:val="95"/>
                <w:sz w:val="15"/>
              </w:rPr>
              <w:t>of</w:t>
            </w:r>
            <w:r>
              <w:rPr>
                <w:spacing w:val="10"/>
                <w:w w:val="95"/>
                <w:sz w:val="15"/>
              </w:rPr>
              <w:t xml:space="preserve"> </w:t>
            </w:r>
            <w:r>
              <w:rPr>
                <w:w w:val="95"/>
                <w:sz w:val="15"/>
              </w:rPr>
              <w:t>social</w:t>
            </w:r>
            <w:r>
              <w:rPr>
                <w:spacing w:val="11"/>
                <w:w w:val="95"/>
                <w:sz w:val="15"/>
              </w:rPr>
              <w:t xml:space="preserve"> </w:t>
            </w:r>
            <w:r>
              <w:rPr>
                <w:w w:val="95"/>
                <w:sz w:val="15"/>
              </w:rPr>
              <w:t>media</w:t>
            </w:r>
            <w:r>
              <w:rPr>
                <w:spacing w:val="12"/>
                <w:w w:val="95"/>
                <w:sz w:val="15"/>
              </w:rPr>
              <w:t xml:space="preserve"> </w:t>
            </w:r>
            <w:r>
              <w:rPr>
                <w:w w:val="95"/>
                <w:sz w:val="15"/>
              </w:rPr>
              <w:t>skills</w:t>
            </w:r>
          </w:p>
        </w:tc>
        <w:tc>
          <w:tcPr>
            <w:tcW w:w="803" w:type="dxa"/>
          </w:tcPr>
          <w:p w14:paraId="441B46EB" w14:textId="77777777" w:rsidR="00F65DFC" w:rsidRDefault="00F65DFC" w:rsidP="007A4637">
            <w:pPr>
              <w:pStyle w:val="TableParagraph"/>
              <w:spacing w:line="151" w:lineRule="exact"/>
              <w:ind w:left="205" w:right="205"/>
              <w:jc w:val="center"/>
              <w:rPr>
                <w:sz w:val="15"/>
              </w:rPr>
            </w:pPr>
            <w:r>
              <w:rPr>
                <w:w w:val="95"/>
                <w:sz w:val="15"/>
              </w:rPr>
              <w:t>79.47</w:t>
            </w:r>
          </w:p>
        </w:tc>
        <w:tc>
          <w:tcPr>
            <w:tcW w:w="780" w:type="dxa"/>
          </w:tcPr>
          <w:p w14:paraId="657C7372" w14:textId="77777777" w:rsidR="00F65DFC" w:rsidRDefault="00F65DFC" w:rsidP="007A4637">
            <w:pPr>
              <w:pStyle w:val="TableParagraph"/>
              <w:spacing w:line="151" w:lineRule="exact"/>
              <w:ind w:right="230"/>
              <w:jc w:val="right"/>
              <w:rPr>
                <w:sz w:val="15"/>
              </w:rPr>
            </w:pPr>
            <w:r>
              <w:rPr>
                <w:w w:val="95"/>
                <w:sz w:val="15"/>
              </w:rPr>
              <w:t>20.76</w:t>
            </w:r>
          </w:p>
        </w:tc>
        <w:tc>
          <w:tcPr>
            <w:tcW w:w="851" w:type="dxa"/>
          </w:tcPr>
          <w:p w14:paraId="7265D798" w14:textId="77777777" w:rsidR="00F65DFC" w:rsidRDefault="00F65DFC" w:rsidP="007A4637">
            <w:pPr>
              <w:pStyle w:val="TableParagraph"/>
              <w:rPr>
                <w:rFonts w:ascii="Times New Roman"/>
                <w:sz w:val="10"/>
              </w:rPr>
            </w:pPr>
          </w:p>
        </w:tc>
        <w:tc>
          <w:tcPr>
            <w:tcW w:w="548" w:type="dxa"/>
          </w:tcPr>
          <w:p w14:paraId="480CD3BC" w14:textId="77777777" w:rsidR="00F65DFC" w:rsidRDefault="00F65DFC" w:rsidP="007A4637">
            <w:pPr>
              <w:pStyle w:val="TableParagraph"/>
              <w:rPr>
                <w:rFonts w:ascii="Times New Roman"/>
                <w:sz w:val="10"/>
              </w:rPr>
            </w:pPr>
          </w:p>
        </w:tc>
      </w:tr>
      <w:tr w:rsidR="00F65DFC" w14:paraId="41F26FA4" w14:textId="77777777" w:rsidTr="007A4637">
        <w:trPr>
          <w:trHeight w:val="173"/>
        </w:trPr>
        <w:tc>
          <w:tcPr>
            <w:tcW w:w="3929" w:type="dxa"/>
          </w:tcPr>
          <w:p w14:paraId="07C9DCFA" w14:textId="77777777" w:rsidR="00F65DFC" w:rsidRDefault="00F65DFC" w:rsidP="007A4637">
            <w:pPr>
              <w:pStyle w:val="TableParagraph"/>
              <w:spacing w:line="154" w:lineRule="exact"/>
              <w:ind w:left="-1"/>
              <w:rPr>
                <w:sz w:val="15"/>
              </w:rPr>
            </w:pPr>
            <w:r>
              <w:rPr>
                <w:w w:val="95"/>
                <w:sz w:val="15"/>
              </w:rPr>
              <w:t>Very</w:t>
            </w:r>
            <w:r>
              <w:rPr>
                <w:spacing w:val="12"/>
                <w:w w:val="95"/>
                <w:sz w:val="15"/>
              </w:rPr>
              <w:t xml:space="preserve"> </w:t>
            </w:r>
            <w:r>
              <w:rPr>
                <w:w w:val="95"/>
                <w:sz w:val="15"/>
              </w:rPr>
              <w:t>high</w:t>
            </w:r>
            <w:r>
              <w:rPr>
                <w:spacing w:val="12"/>
                <w:w w:val="95"/>
                <w:sz w:val="15"/>
              </w:rPr>
              <w:t xml:space="preserve"> </w:t>
            </w:r>
            <w:r>
              <w:rPr>
                <w:w w:val="95"/>
                <w:sz w:val="15"/>
              </w:rPr>
              <w:t>development</w:t>
            </w:r>
            <w:r>
              <w:rPr>
                <w:spacing w:val="14"/>
                <w:w w:val="95"/>
                <w:sz w:val="15"/>
              </w:rPr>
              <w:t xml:space="preserve"> </w:t>
            </w:r>
            <w:r>
              <w:rPr>
                <w:w w:val="95"/>
                <w:sz w:val="15"/>
              </w:rPr>
              <w:t>of</w:t>
            </w:r>
            <w:r>
              <w:rPr>
                <w:spacing w:val="13"/>
                <w:w w:val="95"/>
                <w:sz w:val="15"/>
              </w:rPr>
              <w:t xml:space="preserve"> </w:t>
            </w:r>
            <w:r>
              <w:rPr>
                <w:w w:val="95"/>
                <w:sz w:val="15"/>
              </w:rPr>
              <w:t>social</w:t>
            </w:r>
            <w:r>
              <w:rPr>
                <w:spacing w:val="12"/>
                <w:w w:val="95"/>
                <w:sz w:val="15"/>
              </w:rPr>
              <w:t xml:space="preserve"> </w:t>
            </w:r>
            <w:r>
              <w:rPr>
                <w:w w:val="95"/>
                <w:sz w:val="15"/>
              </w:rPr>
              <w:t>media</w:t>
            </w:r>
            <w:r>
              <w:rPr>
                <w:spacing w:val="13"/>
                <w:w w:val="95"/>
                <w:sz w:val="15"/>
              </w:rPr>
              <w:t xml:space="preserve"> </w:t>
            </w:r>
            <w:r>
              <w:rPr>
                <w:w w:val="95"/>
                <w:sz w:val="15"/>
              </w:rPr>
              <w:t>skills</w:t>
            </w:r>
          </w:p>
        </w:tc>
        <w:tc>
          <w:tcPr>
            <w:tcW w:w="803" w:type="dxa"/>
          </w:tcPr>
          <w:p w14:paraId="662F09DB" w14:textId="77777777" w:rsidR="00F65DFC" w:rsidRDefault="00F65DFC" w:rsidP="007A4637">
            <w:pPr>
              <w:pStyle w:val="TableParagraph"/>
              <w:spacing w:line="154" w:lineRule="exact"/>
              <w:ind w:left="205" w:right="205"/>
              <w:jc w:val="center"/>
              <w:rPr>
                <w:sz w:val="15"/>
              </w:rPr>
            </w:pPr>
            <w:r>
              <w:rPr>
                <w:w w:val="95"/>
                <w:sz w:val="15"/>
              </w:rPr>
              <w:t>84.85</w:t>
            </w:r>
          </w:p>
        </w:tc>
        <w:tc>
          <w:tcPr>
            <w:tcW w:w="780" w:type="dxa"/>
          </w:tcPr>
          <w:p w14:paraId="359A08C0" w14:textId="77777777" w:rsidR="00F65DFC" w:rsidRDefault="00F65DFC" w:rsidP="007A4637">
            <w:pPr>
              <w:pStyle w:val="TableParagraph"/>
              <w:spacing w:line="154" w:lineRule="exact"/>
              <w:ind w:right="230"/>
              <w:jc w:val="right"/>
              <w:rPr>
                <w:sz w:val="15"/>
              </w:rPr>
            </w:pPr>
            <w:r>
              <w:rPr>
                <w:w w:val="95"/>
                <w:sz w:val="15"/>
              </w:rPr>
              <w:t>19.66</w:t>
            </w:r>
          </w:p>
        </w:tc>
        <w:tc>
          <w:tcPr>
            <w:tcW w:w="851" w:type="dxa"/>
          </w:tcPr>
          <w:p w14:paraId="714E80B1" w14:textId="77777777" w:rsidR="00F65DFC" w:rsidRDefault="00F65DFC" w:rsidP="007A4637">
            <w:pPr>
              <w:pStyle w:val="TableParagraph"/>
              <w:rPr>
                <w:rFonts w:ascii="Times New Roman"/>
                <w:sz w:val="10"/>
              </w:rPr>
            </w:pPr>
          </w:p>
        </w:tc>
        <w:tc>
          <w:tcPr>
            <w:tcW w:w="548" w:type="dxa"/>
          </w:tcPr>
          <w:p w14:paraId="6BAC096C" w14:textId="77777777" w:rsidR="00F65DFC" w:rsidRDefault="00F65DFC" w:rsidP="007A4637">
            <w:pPr>
              <w:pStyle w:val="TableParagraph"/>
              <w:rPr>
                <w:rFonts w:ascii="Times New Roman"/>
                <w:sz w:val="10"/>
              </w:rPr>
            </w:pPr>
          </w:p>
        </w:tc>
      </w:tr>
    </w:tbl>
    <w:p w14:paraId="54212459" w14:textId="77777777" w:rsidR="00F65DFC" w:rsidRDefault="00F65DFC" w:rsidP="00F65DFC">
      <w:pPr>
        <w:pStyle w:val="Normal1"/>
        <w:spacing w:line="480" w:lineRule="auto"/>
        <w:contextualSpacing/>
        <w:outlineLvl w:val="0"/>
        <w:rPr>
          <w:rFonts w:ascii="Times New Roman" w:eastAsia="Times New Roman" w:hAnsi="Times New Roman" w:cs="Times New Roman"/>
          <w:bCs/>
          <w:color w:val="000000" w:themeColor="text1"/>
          <w:sz w:val="24"/>
          <w:szCs w:val="24"/>
        </w:rPr>
      </w:pPr>
    </w:p>
    <w:p w14:paraId="7C0D29C4" w14:textId="496F767B" w:rsidR="00C40BB6" w:rsidRPr="00F65DFC" w:rsidRDefault="00F65DFC" w:rsidP="00F65DFC">
      <w:pPr>
        <w:pStyle w:val="Normal1"/>
        <w:spacing w:line="480" w:lineRule="auto"/>
        <w:contextualSpacing/>
        <w:outlineLvl w:val="0"/>
        <w:rPr>
          <w:rFonts w:ascii="Times New Roman" w:eastAsia="Times New Roman" w:hAnsi="Times New Roman" w:cs="Times New Roman"/>
          <w:bCs/>
          <w:color w:val="000000" w:themeColor="text1"/>
          <w:sz w:val="24"/>
          <w:szCs w:val="24"/>
        </w:rPr>
      </w:pPr>
      <w:r w:rsidRPr="00F65DFC">
        <w:rPr>
          <w:rFonts w:ascii="Times New Roman" w:eastAsia="Times New Roman" w:hAnsi="Times New Roman" w:cs="Times New Roman"/>
          <w:bCs/>
          <w:color w:val="000000" w:themeColor="text1"/>
          <w:sz w:val="24"/>
          <w:szCs w:val="24"/>
        </w:rPr>
        <w:t>Table III.</w:t>
      </w:r>
      <w:r>
        <w:rPr>
          <w:rFonts w:ascii="Times New Roman" w:eastAsia="Times New Roman" w:hAnsi="Times New Roman" w:cs="Times New Roman"/>
          <w:bCs/>
          <w:color w:val="000000" w:themeColor="text1"/>
          <w:sz w:val="24"/>
          <w:szCs w:val="24"/>
        </w:rPr>
        <w:t xml:space="preserve"> </w:t>
      </w:r>
      <w:r w:rsidRPr="00F65DFC">
        <w:rPr>
          <w:rFonts w:ascii="Times New Roman" w:eastAsia="Times New Roman" w:hAnsi="Times New Roman" w:cs="Times New Roman"/>
          <w:bCs/>
          <w:color w:val="000000" w:themeColor="text1"/>
          <w:sz w:val="24"/>
          <w:szCs w:val="24"/>
        </w:rPr>
        <w:t>Mean scores of resilience according to demographic and work-related variables</w:t>
      </w:r>
    </w:p>
    <w:p w14:paraId="1A3F08B7" w14:textId="20DDD5E3" w:rsidR="006F6053" w:rsidRPr="0090305A" w:rsidRDefault="006F6053" w:rsidP="0090305A">
      <w:pPr>
        <w:pStyle w:val="Normal1"/>
        <w:spacing w:after="0" w:line="480" w:lineRule="auto"/>
        <w:contextualSpacing/>
        <w:outlineLvl w:val="0"/>
        <w:rPr>
          <w:rFonts w:ascii="Times New Roman" w:hAnsi="Times New Roman" w:cs="Times New Roman"/>
          <w:b/>
          <w:color w:val="000000" w:themeColor="text1"/>
          <w:sz w:val="24"/>
          <w:szCs w:val="24"/>
        </w:rPr>
      </w:pPr>
      <w:r w:rsidRPr="0090305A">
        <w:rPr>
          <w:rFonts w:ascii="Times New Roman" w:hAnsi="Times New Roman" w:cs="Times New Roman"/>
          <w:b/>
          <w:color w:val="000000" w:themeColor="text1"/>
          <w:sz w:val="24"/>
          <w:szCs w:val="24"/>
        </w:rPr>
        <w:t>Associations between predictors and resilience</w:t>
      </w:r>
    </w:p>
    <w:p w14:paraId="24CDA2BB" w14:textId="77777777" w:rsidR="006F6053" w:rsidRPr="0090305A" w:rsidRDefault="006F6053" w:rsidP="0090305A">
      <w:pPr>
        <w:pStyle w:val="Normal1"/>
        <w:spacing w:after="0" w:line="480" w:lineRule="auto"/>
        <w:contextualSpacing/>
        <w:outlineLvl w:val="0"/>
        <w:rPr>
          <w:rFonts w:ascii="Times New Roman" w:hAnsi="Times New Roman" w:cs="Times New Roman"/>
          <w:color w:val="000000" w:themeColor="text1"/>
          <w:sz w:val="24"/>
          <w:szCs w:val="24"/>
        </w:rPr>
      </w:pPr>
      <w:r w:rsidRPr="0090305A">
        <w:rPr>
          <w:rFonts w:ascii="Times New Roman" w:hAnsi="Times New Roman" w:cs="Times New Roman"/>
          <w:color w:val="000000" w:themeColor="text1"/>
          <w:sz w:val="24"/>
          <w:szCs w:val="24"/>
        </w:rPr>
        <w:lastRenderedPageBreak/>
        <w:t>Bivariate analyses were conducted to examine the associations between predictors and resilience,</w:t>
      </w:r>
    </w:p>
    <w:p w14:paraId="6604FA56" w14:textId="3B565B5B" w:rsidR="006F6053" w:rsidRPr="0090305A" w:rsidRDefault="006F6053" w:rsidP="0090305A">
      <w:pPr>
        <w:pStyle w:val="Normal1"/>
        <w:spacing w:after="0" w:line="480" w:lineRule="auto"/>
        <w:contextualSpacing/>
        <w:outlineLvl w:val="0"/>
        <w:rPr>
          <w:rFonts w:ascii="Times New Roman" w:hAnsi="Times New Roman" w:cs="Times New Roman"/>
          <w:color w:val="000000" w:themeColor="text1"/>
          <w:sz w:val="24"/>
          <w:szCs w:val="24"/>
        </w:rPr>
      </w:pPr>
      <w:r w:rsidRPr="0090305A">
        <w:rPr>
          <w:rFonts w:ascii="Times New Roman" w:hAnsi="Times New Roman" w:cs="Times New Roman"/>
          <w:color w:val="000000" w:themeColor="text1"/>
          <w:sz w:val="24"/>
          <w:szCs w:val="24"/>
        </w:rPr>
        <w:t xml:space="preserve">consisting of demographic </w:t>
      </w:r>
      <w:r w:rsidR="00F348FA" w:rsidRPr="0090305A">
        <w:rPr>
          <w:rFonts w:ascii="Times New Roman" w:hAnsi="Times New Roman" w:cs="Times New Roman"/>
          <w:color w:val="000000" w:themeColor="text1"/>
          <w:sz w:val="24"/>
          <w:szCs w:val="24"/>
        </w:rPr>
        <w:t>and work-related variables</w:t>
      </w:r>
      <w:r w:rsidRPr="0090305A">
        <w:rPr>
          <w:rFonts w:ascii="Times New Roman" w:hAnsi="Times New Roman" w:cs="Times New Roman"/>
          <w:color w:val="000000" w:themeColor="text1"/>
          <w:sz w:val="24"/>
          <w:szCs w:val="24"/>
        </w:rPr>
        <w:t>. For the categorical variables, we created dummy</w:t>
      </w:r>
      <w:r w:rsidR="00F348FA" w:rsidRPr="0090305A">
        <w:rPr>
          <w:rFonts w:ascii="Times New Roman" w:hAnsi="Times New Roman" w:cs="Times New Roman"/>
          <w:color w:val="000000" w:themeColor="text1"/>
          <w:sz w:val="24"/>
          <w:szCs w:val="24"/>
        </w:rPr>
        <w:t xml:space="preserve"> </w:t>
      </w:r>
      <w:r w:rsidRPr="0090305A">
        <w:rPr>
          <w:rFonts w:ascii="Times New Roman" w:hAnsi="Times New Roman" w:cs="Times New Roman"/>
          <w:color w:val="000000" w:themeColor="text1"/>
          <w:sz w:val="24"/>
          <w:szCs w:val="24"/>
        </w:rPr>
        <w:t>variables</w:t>
      </w:r>
      <w:r w:rsidR="00824378" w:rsidRPr="0090305A">
        <w:rPr>
          <w:rFonts w:ascii="Times New Roman" w:hAnsi="Times New Roman" w:cs="Times New Roman"/>
          <w:color w:val="000000" w:themeColor="text1"/>
          <w:sz w:val="24"/>
          <w:szCs w:val="24"/>
        </w:rPr>
        <w:t xml:space="preserve">. </w:t>
      </w:r>
      <w:r w:rsidR="0006392F" w:rsidRPr="0090305A">
        <w:rPr>
          <w:rFonts w:ascii="Times New Roman" w:hAnsi="Times New Roman" w:cs="Times New Roman"/>
          <w:color w:val="000000" w:themeColor="text1"/>
          <w:sz w:val="24"/>
          <w:szCs w:val="24"/>
        </w:rPr>
        <w:t>Higher level of s</w:t>
      </w:r>
      <w:r w:rsidR="00864956" w:rsidRPr="0090305A">
        <w:rPr>
          <w:rFonts w:ascii="Times New Roman" w:hAnsi="Times New Roman" w:cs="Times New Roman"/>
          <w:color w:val="000000" w:themeColor="text1"/>
          <w:sz w:val="24"/>
          <w:szCs w:val="24"/>
        </w:rPr>
        <w:t>ocial media skill</w:t>
      </w:r>
      <w:r w:rsidR="0006392F" w:rsidRPr="0090305A">
        <w:rPr>
          <w:rFonts w:ascii="Times New Roman" w:hAnsi="Times New Roman" w:cs="Times New Roman"/>
          <w:color w:val="000000" w:themeColor="text1"/>
          <w:sz w:val="24"/>
          <w:szCs w:val="24"/>
        </w:rPr>
        <w:t>s</w:t>
      </w:r>
      <w:r w:rsidR="00824378" w:rsidRPr="0090305A">
        <w:rPr>
          <w:rFonts w:ascii="Times New Roman" w:hAnsi="Times New Roman" w:cs="Times New Roman"/>
          <w:color w:val="000000" w:themeColor="text1"/>
          <w:sz w:val="24"/>
          <w:szCs w:val="24"/>
        </w:rPr>
        <w:t xml:space="preserve"> were the only predictors of resilience for this group of public relations practitioners. </w:t>
      </w:r>
    </w:p>
    <w:tbl>
      <w:tblPr>
        <w:tblStyle w:val="TableNormal"/>
        <w:tblW w:w="0" w:type="auto"/>
        <w:tblInd w:w="7" w:type="dxa"/>
        <w:tblLayout w:type="fixed"/>
        <w:tblLook w:val="01E0" w:firstRow="1" w:lastRow="1" w:firstColumn="1" w:lastColumn="1" w:noHBand="0" w:noVBand="0"/>
      </w:tblPr>
      <w:tblGrid>
        <w:gridCol w:w="1702"/>
        <w:gridCol w:w="1355"/>
        <w:gridCol w:w="1205"/>
        <w:gridCol w:w="1270"/>
        <w:gridCol w:w="977"/>
        <w:gridCol w:w="503"/>
      </w:tblGrid>
      <w:tr w:rsidR="00F65DFC" w14:paraId="60C1E488" w14:textId="77777777" w:rsidTr="007A4637">
        <w:trPr>
          <w:trHeight w:val="328"/>
        </w:trPr>
        <w:tc>
          <w:tcPr>
            <w:tcW w:w="6509" w:type="dxa"/>
            <w:gridSpan w:val="5"/>
            <w:tcBorders>
              <w:top w:val="single" w:sz="6" w:space="0" w:color="000000"/>
              <w:bottom w:val="single" w:sz="6" w:space="0" w:color="000000"/>
            </w:tcBorders>
          </w:tcPr>
          <w:p w14:paraId="12C4920C" w14:textId="77777777" w:rsidR="00F65DFC" w:rsidRDefault="00F65DFC" w:rsidP="007A4637">
            <w:pPr>
              <w:pStyle w:val="TableParagraph"/>
              <w:tabs>
                <w:tab w:val="left" w:pos="3590"/>
                <w:tab w:val="left" w:pos="4094"/>
                <w:tab w:val="left" w:pos="6117"/>
              </w:tabs>
              <w:spacing w:before="108"/>
              <w:ind w:left="1490"/>
              <w:rPr>
                <w:sz w:val="16"/>
              </w:rPr>
            </w:pPr>
            <w:r>
              <w:rPr>
                <w:w w:val="95"/>
                <w:sz w:val="16"/>
              </w:rPr>
              <w:t>Unstandardized</w:t>
            </w:r>
            <w:r>
              <w:rPr>
                <w:spacing w:val="1"/>
                <w:w w:val="95"/>
                <w:sz w:val="16"/>
              </w:rPr>
              <w:t xml:space="preserve"> </w:t>
            </w:r>
            <w:r>
              <w:rPr>
                <w:w w:val="95"/>
                <w:sz w:val="16"/>
              </w:rPr>
              <w:t>coefficients</w:t>
            </w:r>
            <w:r>
              <w:rPr>
                <w:w w:val="95"/>
                <w:sz w:val="16"/>
              </w:rPr>
              <w:tab/>
            </w:r>
            <w:r>
              <w:rPr>
                <w:sz w:val="16"/>
              </w:rPr>
              <w:t>SE</w:t>
            </w:r>
            <w:r>
              <w:rPr>
                <w:sz w:val="16"/>
              </w:rPr>
              <w:tab/>
            </w:r>
            <w:r>
              <w:rPr>
                <w:w w:val="95"/>
                <w:sz w:val="16"/>
              </w:rPr>
              <w:t>Standardized</w:t>
            </w:r>
            <w:r>
              <w:rPr>
                <w:spacing w:val="2"/>
                <w:w w:val="95"/>
                <w:sz w:val="16"/>
              </w:rPr>
              <w:t xml:space="preserve"> </w:t>
            </w:r>
            <w:r>
              <w:rPr>
                <w:w w:val="95"/>
                <w:sz w:val="16"/>
              </w:rPr>
              <w:t>coefficients</w:t>
            </w:r>
            <w:r>
              <w:rPr>
                <w:w w:val="95"/>
                <w:sz w:val="16"/>
              </w:rPr>
              <w:tab/>
            </w:r>
            <w:r>
              <w:rPr>
                <w:i/>
                <w:sz w:val="16"/>
              </w:rPr>
              <w:t>t</w:t>
            </w:r>
            <w:r>
              <w:rPr>
                <w:sz w:val="16"/>
                <w:vertAlign w:val="superscript"/>
              </w:rPr>
              <w:t>a</w:t>
            </w:r>
          </w:p>
        </w:tc>
        <w:tc>
          <w:tcPr>
            <w:tcW w:w="503" w:type="dxa"/>
            <w:tcBorders>
              <w:top w:val="single" w:sz="6" w:space="0" w:color="000000"/>
              <w:bottom w:val="single" w:sz="6" w:space="0" w:color="000000"/>
            </w:tcBorders>
          </w:tcPr>
          <w:p w14:paraId="1A238C16" w14:textId="77777777" w:rsidR="00F65DFC" w:rsidRDefault="00F65DFC" w:rsidP="007A4637">
            <w:pPr>
              <w:pStyle w:val="TableParagraph"/>
              <w:spacing w:before="95"/>
              <w:ind w:left="85" w:right="9"/>
              <w:jc w:val="center"/>
              <w:rPr>
                <w:i/>
                <w:sz w:val="10"/>
              </w:rPr>
            </w:pPr>
            <w:r>
              <w:rPr>
                <w:i/>
                <w:position w:val="-6"/>
                <w:sz w:val="16"/>
              </w:rPr>
              <w:t>p</w:t>
            </w:r>
            <w:r>
              <w:rPr>
                <w:i/>
                <w:sz w:val="10"/>
              </w:rPr>
              <w:t>b</w:t>
            </w:r>
          </w:p>
        </w:tc>
      </w:tr>
      <w:tr w:rsidR="00F65DFC" w14:paraId="0AF9F1F3" w14:textId="77777777" w:rsidTr="007A4637">
        <w:trPr>
          <w:trHeight w:val="285"/>
        </w:trPr>
        <w:tc>
          <w:tcPr>
            <w:tcW w:w="1702" w:type="dxa"/>
          </w:tcPr>
          <w:p w14:paraId="09692C9F" w14:textId="77777777" w:rsidR="00F65DFC" w:rsidRDefault="00F65DFC" w:rsidP="007A4637">
            <w:pPr>
              <w:pStyle w:val="TableParagraph"/>
              <w:spacing w:before="99" w:line="162" w:lineRule="exact"/>
              <w:ind w:left="50"/>
              <w:rPr>
                <w:sz w:val="16"/>
              </w:rPr>
            </w:pPr>
            <w:r>
              <w:rPr>
                <w:sz w:val="16"/>
              </w:rPr>
              <w:t>Constant</w:t>
            </w:r>
          </w:p>
        </w:tc>
        <w:tc>
          <w:tcPr>
            <w:tcW w:w="1355" w:type="dxa"/>
          </w:tcPr>
          <w:p w14:paraId="22E182DD" w14:textId="77777777" w:rsidR="00F65DFC" w:rsidRDefault="00F65DFC" w:rsidP="007A4637">
            <w:pPr>
              <w:pStyle w:val="TableParagraph"/>
              <w:spacing w:before="99" w:line="162" w:lineRule="exact"/>
              <w:ind w:right="456"/>
              <w:jc w:val="right"/>
              <w:rPr>
                <w:sz w:val="16"/>
              </w:rPr>
            </w:pPr>
            <w:r>
              <w:rPr>
                <w:w w:val="95"/>
                <w:sz w:val="16"/>
              </w:rPr>
              <w:t>2.023</w:t>
            </w:r>
          </w:p>
        </w:tc>
        <w:tc>
          <w:tcPr>
            <w:tcW w:w="1205" w:type="dxa"/>
          </w:tcPr>
          <w:p w14:paraId="40662D7B" w14:textId="77777777" w:rsidR="00F65DFC" w:rsidRDefault="00F65DFC" w:rsidP="007A4637">
            <w:pPr>
              <w:pStyle w:val="TableParagraph"/>
              <w:spacing w:before="99" w:line="162" w:lineRule="exact"/>
              <w:ind w:left="460"/>
              <w:rPr>
                <w:sz w:val="16"/>
              </w:rPr>
            </w:pPr>
            <w:r>
              <w:rPr>
                <w:w w:val="95"/>
                <w:sz w:val="16"/>
              </w:rPr>
              <w:t>0.072</w:t>
            </w:r>
          </w:p>
        </w:tc>
        <w:tc>
          <w:tcPr>
            <w:tcW w:w="1270" w:type="dxa"/>
          </w:tcPr>
          <w:p w14:paraId="2AEB8F51" w14:textId="77777777" w:rsidR="00F65DFC" w:rsidRDefault="00F65DFC" w:rsidP="007A4637">
            <w:pPr>
              <w:pStyle w:val="TableParagraph"/>
              <w:rPr>
                <w:rFonts w:ascii="Times New Roman"/>
                <w:sz w:val="18"/>
              </w:rPr>
            </w:pPr>
          </w:p>
        </w:tc>
        <w:tc>
          <w:tcPr>
            <w:tcW w:w="977" w:type="dxa"/>
          </w:tcPr>
          <w:p w14:paraId="29E5E2C8" w14:textId="77777777" w:rsidR="00F65DFC" w:rsidRDefault="00F65DFC" w:rsidP="007A4637">
            <w:pPr>
              <w:pStyle w:val="TableParagraph"/>
              <w:spacing w:before="99" w:line="162" w:lineRule="exact"/>
              <w:ind w:right="120"/>
              <w:jc w:val="right"/>
              <w:rPr>
                <w:sz w:val="16"/>
              </w:rPr>
            </w:pPr>
            <w:r>
              <w:rPr>
                <w:w w:val="95"/>
                <w:sz w:val="16"/>
              </w:rPr>
              <w:t>28.004</w:t>
            </w:r>
          </w:p>
        </w:tc>
        <w:tc>
          <w:tcPr>
            <w:tcW w:w="503" w:type="dxa"/>
          </w:tcPr>
          <w:p w14:paraId="7339C9A7" w14:textId="77777777" w:rsidR="00F65DFC" w:rsidRDefault="00F65DFC" w:rsidP="007A4637">
            <w:pPr>
              <w:pStyle w:val="TableParagraph"/>
              <w:spacing w:before="99" w:line="162" w:lineRule="exact"/>
              <w:ind w:left="76"/>
              <w:jc w:val="center"/>
              <w:rPr>
                <w:sz w:val="16"/>
              </w:rPr>
            </w:pPr>
            <w:r>
              <w:rPr>
                <w:w w:val="84"/>
                <w:sz w:val="16"/>
              </w:rPr>
              <w:t>0</w:t>
            </w:r>
          </w:p>
        </w:tc>
      </w:tr>
      <w:tr w:rsidR="00F65DFC" w14:paraId="18820076" w14:textId="77777777" w:rsidTr="007A4637">
        <w:trPr>
          <w:trHeight w:val="178"/>
        </w:trPr>
        <w:tc>
          <w:tcPr>
            <w:tcW w:w="1702" w:type="dxa"/>
          </w:tcPr>
          <w:p w14:paraId="31C3A882" w14:textId="77777777" w:rsidR="00F65DFC" w:rsidRDefault="00F65DFC" w:rsidP="007A4637">
            <w:pPr>
              <w:pStyle w:val="TableParagraph"/>
              <w:spacing w:line="158" w:lineRule="exact"/>
              <w:ind w:left="50"/>
              <w:rPr>
                <w:sz w:val="16"/>
              </w:rPr>
            </w:pPr>
            <w:r>
              <w:rPr>
                <w:w w:val="90"/>
                <w:sz w:val="16"/>
              </w:rPr>
              <w:t>Job</w:t>
            </w:r>
            <w:r>
              <w:rPr>
                <w:spacing w:val="20"/>
                <w:w w:val="90"/>
                <w:sz w:val="16"/>
              </w:rPr>
              <w:t xml:space="preserve"> </w:t>
            </w:r>
            <w:r>
              <w:rPr>
                <w:w w:val="90"/>
                <w:sz w:val="16"/>
              </w:rPr>
              <w:t>experience</w:t>
            </w:r>
          </w:p>
        </w:tc>
        <w:tc>
          <w:tcPr>
            <w:tcW w:w="1355" w:type="dxa"/>
          </w:tcPr>
          <w:p w14:paraId="3A2443AA" w14:textId="77777777" w:rsidR="00F65DFC" w:rsidRDefault="00F65DFC" w:rsidP="007A4637">
            <w:pPr>
              <w:pStyle w:val="TableParagraph"/>
              <w:spacing w:line="158" w:lineRule="exact"/>
              <w:ind w:right="456"/>
              <w:jc w:val="right"/>
              <w:rPr>
                <w:sz w:val="16"/>
              </w:rPr>
            </w:pPr>
            <w:r>
              <w:rPr>
                <w:w w:val="95"/>
                <w:sz w:val="16"/>
              </w:rPr>
              <w:t>0.007</w:t>
            </w:r>
          </w:p>
        </w:tc>
        <w:tc>
          <w:tcPr>
            <w:tcW w:w="1205" w:type="dxa"/>
          </w:tcPr>
          <w:p w14:paraId="1C44B2B1" w14:textId="77777777" w:rsidR="00F65DFC" w:rsidRDefault="00F65DFC" w:rsidP="007A4637">
            <w:pPr>
              <w:pStyle w:val="TableParagraph"/>
              <w:spacing w:line="158" w:lineRule="exact"/>
              <w:ind w:left="460"/>
              <w:rPr>
                <w:sz w:val="16"/>
              </w:rPr>
            </w:pPr>
            <w:r>
              <w:rPr>
                <w:w w:val="95"/>
                <w:sz w:val="16"/>
              </w:rPr>
              <w:t>0.016</w:t>
            </w:r>
          </w:p>
        </w:tc>
        <w:tc>
          <w:tcPr>
            <w:tcW w:w="1270" w:type="dxa"/>
          </w:tcPr>
          <w:p w14:paraId="1287F34A" w14:textId="77777777" w:rsidR="00F65DFC" w:rsidRDefault="00F65DFC" w:rsidP="007A4637">
            <w:pPr>
              <w:pStyle w:val="TableParagraph"/>
              <w:spacing w:line="158" w:lineRule="exact"/>
              <w:ind w:right="412"/>
              <w:jc w:val="right"/>
              <w:rPr>
                <w:sz w:val="16"/>
              </w:rPr>
            </w:pPr>
            <w:r>
              <w:rPr>
                <w:w w:val="95"/>
                <w:sz w:val="16"/>
              </w:rPr>
              <w:t>0.021</w:t>
            </w:r>
          </w:p>
        </w:tc>
        <w:tc>
          <w:tcPr>
            <w:tcW w:w="977" w:type="dxa"/>
          </w:tcPr>
          <w:p w14:paraId="048D2033" w14:textId="77777777" w:rsidR="00F65DFC" w:rsidRDefault="00F65DFC" w:rsidP="007A4637">
            <w:pPr>
              <w:pStyle w:val="TableParagraph"/>
              <w:spacing w:line="158" w:lineRule="exact"/>
              <w:ind w:right="120"/>
              <w:jc w:val="right"/>
              <w:rPr>
                <w:sz w:val="16"/>
              </w:rPr>
            </w:pPr>
            <w:r>
              <w:rPr>
                <w:w w:val="95"/>
                <w:sz w:val="16"/>
              </w:rPr>
              <w:t>0.463</w:t>
            </w:r>
          </w:p>
        </w:tc>
        <w:tc>
          <w:tcPr>
            <w:tcW w:w="503" w:type="dxa"/>
          </w:tcPr>
          <w:p w14:paraId="3518EE7D" w14:textId="77777777" w:rsidR="00F65DFC" w:rsidRDefault="00F65DFC" w:rsidP="007A4637">
            <w:pPr>
              <w:pStyle w:val="TableParagraph"/>
              <w:spacing w:line="158" w:lineRule="exact"/>
              <w:ind w:left="86" w:right="9"/>
              <w:jc w:val="center"/>
              <w:rPr>
                <w:sz w:val="16"/>
              </w:rPr>
            </w:pPr>
            <w:r>
              <w:rPr>
                <w:w w:val="95"/>
                <w:sz w:val="16"/>
              </w:rPr>
              <w:t>0.643</w:t>
            </w:r>
          </w:p>
        </w:tc>
      </w:tr>
      <w:tr w:rsidR="00F65DFC" w14:paraId="254294BB" w14:textId="77777777" w:rsidTr="007A4637">
        <w:trPr>
          <w:trHeight w:val="189"/>
        </w:trPr>
        <w:tc>
          <w:tcPr>
            <w:tcW w:w="1702" w:type="dxa"/>
          </w:tcPr>
          <w:p w14:paraId="4E587A8B" w14:textId="77777777" w:rsidR="00F65DFC" w:rsidRDefault="00F65DFC" w:rsidP="007A4637">
            <w:pPr>
              <w:pStyle w:val="TableParagraph"/>
              <w:spacing w:line="170" w:lineRule="exact"/>
              <w:ind w:left="50"/>
              <w:rPr>
                <w:sz w:val="16"/>
              </w:rPr>
            </w:pPr>
            <w:r>
              <w:rPr>
                <w:w w:val="105"/>
                <w:sz w:val="16"/>
              </w:rPr>
              <w:t>Age</w:t>
            </w:r>
          </w:p>
        </w:tc>
        <w:tc>
          <w:tcPr>
            <w:tcW w:w="1355" w:type="dxa"/>
          </w:tcPr>
          <w:p w14:paraId="336211DF" w14:textId="77777777" w:rsidR="00F65DFC" w:rsidRDefault="00F65DFC" w:rsidP="007A4637">
            <w:pPr>
              <w:pStyle w:val="TableParagraph"/>
              <w:spacing w:line="170" w:lineRule="exact"/>
              <w:ind w:right="456"/>
              <w:jc w:val="right"/>
              <w:rPr>
                <w:sz w:val="16"/>
              </w:rPr>
            </w:pPr>
            <w:r>
              <w:rPr>
                <w:rFonts w:ascii="Lucida Sans Unicode" w:hAnsi="Lucida Sans Unicode"/>
                <w:w w:val="95"/>
                <w:sz w:val="16"/>
              </w:rPr>
              <w:t>−</w:t>
            </w:r>
            <w:r>
              <w:rPr>
                <w:w w:val="95"/>
                <w:sz w:val="16"/>
              </w:rPr>
              <w:t>0.001</w:t>
            </w:r>
          </w:p>
        </w:tc>
        <w:tc>
          <w:tcPr>
            <w:tcW w:w="1205" w:type="dxa"/>
          </w:tcPr>
          <w:p w14:paraId="545456A7" w14:textId="77777777" w:rsidR="00F65DFC" w:rsidRDefault="00F65DFC" w:rsidP="007A4637">
            <w:pPr>
              <w:pStyle w:val="TableParagraph"/>
              <w:spacing w:line="170" w:lineRule="exact"/>
              <w:ind w:left="460"/>
              <w:rPr>
                <w:sz w:val="16"/>
              </w:rPr>
            </w:pPr>
            <w:r>
              <w:rPr>
                <w:w w:val="95"/>
                <w:sz w:val="16"/>
              </w:rPr>
              <w:t>0.001</w:t>
            </w:r>
          </w:p>
        </w:tc>
        <w:tc>
          <w:tcPr>
            <w:tcW w:w="1270" w:type="dxa"/>
          </w:tcPr>
          <w:p w14:paraId="428D18D0" w14:textId="77777777" w:rsidR="00F65DFC" w:rsidRDefault="00F65DFC" w:rsidP="007A4637">
            <w:pPr>
              <w:pStyle w:val="TableParagraph"/>
              <w:spacing w:line="170" w:lineRule="exact"/>
              <w:ind w:right="412"/>
              <w:jc w:val="right"/>
              <w:rPr>
                <w:sz w:val="16"/>
              </w:rPr>
            </w:pPr>
            <w:r>
              <w:rPr>
                <w:rFonts w:ascii="Lucida Sans Unicode" w:hAnsi="Lucida Sans Unicode"/>
                <w:w w:val="95"/>
                <w:sz w:val="16"/>
              </w:rPr>
              <w:t>−</w:t>
            </w:r>
            <w:r>
              <w:rPr>
                <w:w w:val="95"/>
                <w:sz w:val="16"/>
              </w:rPr>
              <w:t>0.037</w:t>
            </w:r>
          </w:p>
        </w:tc>
        <w:tc>
          <w:tcPr>
            <w:tcW w:w="977" w:type="dxa"/>
          </w:tcPr>
          <w:p w14:paraId="39FDBCBA" w14:textId="77777777" w:rsidR="00F65DFC" w:rsidRDefault="00F65DFC" w:rsidP="007A4637">
            <w:pPr>
              <w:pStyle w:val="TableParagraph"/>
              <w:spacing w:line="170" w:lineRule="exact"/>
              <w:ind w:right="119"/>
              <w:jc w:val="right"/>
              <w:rPr>
                <w:sz w:val="16"/>
              </w:rPr>
            </w:pPr>
            <w:r>
              <w:rPr>
                <w:rFonts w:ascii="Lucida Sans Unicode" w:hAnsi="Lucida Sans Unicode"/>
                <w:w w:val="95"/>
                <w:sz w:val="16"/>
              </w:rPr>
              <w:t>−</w:t>
            </w:r>
            <w:r>
              <w:rPr>
                <w:w w:val="95"/>
                <w:sz w:val="16"/>
              </w:rPr>
              <w:t>0.824</w:t>
            </w:r>
          </w:p>
        </w:tc>
        <w:tc>
          <w:tcPr>
            <w:tcW w:w="503" w:type="dxa"/>
          </w:tcPr>
          <w:p w14:paraId="563E0B41" w14:textId="77777777" w:rsidR="00F65DFC" w:rsidRDefault="00F65DFC" w:rsidP="007A4637">
            <w:pPr>
              <w:pStyle w:val="TableParagraph"/>
              <w:spacing w:line="170" w:lineRule="exact"/>
              <w:ind w:left="11" w:right="9"/>
              <w:jc w:val="center"/>
              <w:rPr>
                <w:sz w:val="16"/>
              </w:rPr>
            </w:pPr>
            <w:r>
              <w:rPr>
                <w:w w:val="95"/>
                <w:sz w:val="16"/>
              </w:rPr>
              <w:t>0.41</w:t>
            </w:r>
          </w:p>
        </w:tc>
      </w:tr>
      <w:tr w:rsidR="00F65DFC" w14:paraId="046BC7D8" w14:textId="77777777" w:rsidTr="007A4637">
        <w:trPr>
          <w:trHeight w:val="169"/>
        </w:trPr>
        <w:tc>
          <w:tcPr>
            <w:tcW w:w="1702" w:type="dxa"/>
          </w:tcPr>
          <w:p w14:paraId="065094CA" w14:textId="77777777" w:rsidR="00F65DFC" w:rsidRDefault="00F65DFC" w:rsidP="007A4637">
            <w:pPr>
              <w:pStyle w:val="TableParagraph"/>
              <w:spacing w:line="150" w:lineRule="exact"/>
              <w:ind w:left="50"/>
              <w:rPr>
                <w:sz w:val="16"/>
              </w:rPr>
            </w:pPr>
            <w:r>
              <w:rPr>
                <w:sz w:val="16"/>
              </w:rPr>
              <w:t>Position</w:t>
            </w:r>
          </w:p>
        </w:tc>
        <w:tc>
          <w:tcPr>
            <w:tcW w:w="1355" w:type="dxa"/>
          </w:tcPr>
          <w:p w14:paraId="5C68CE77" w14:textId="77777777" w:rsidR="00F65DFC" w:rsidRDefault="00F65DFC" w:rsidP="007A4637">
            <w:pPr>
              <w:pStyle w:val="TableParagraph"/>
              <w:spacing w:line="150" w:lineRule="exact"/>
              <w:ind w:right="456"/>
              <w:jc w:val="right"/>
              <w:rPr>
                <w:sz w:val="16"/>
              </w:rPr>
            </w:pPr>
            <w:r>
              <w:rPr>
                <w:w w:val="95"/>
                <w:sz w:val="16"/>
              </w:rPr>
              <w:t>0.007</w:t>
            </w:r>
          </w:p>
        </w:tc>
        <w:tc>
          <w:tcPr>
            <w:tcW w:w="1205" w:type="dxa"/>
          </w:tcPr>
          <w:p w14:paraId="3BC59734" w14:textId="77777777" w:rsidR="00F65DFC" w:rsidRDefault="00F65DFC" w:rsidP="007A4637">
            <w:pPr>
              <w:pStyle w:val="TableParagraph"/>
              <w:spacing w:line="150" w:lineRule="exact"/>
              <w:ind w:left="460"/>
              <w:rPr>
                <w:sz w:val="16"/>
              </w:rPr>
            </w:pPr>
            <w:r>
              <w:rPr>
                <w:w w:val="95"/>
                <w:sz w:val="16"/>
              </w:rPr>
              <w:t>0.013</w:t>
            </w:r>
          </w:p>
        </w:tc>
        <w:tc>
          <w:tcPr>
            <w:tcW w:w="1270" w:type="dxa"/>
          </w:tcPr>
          <w:p w14:paraId="264675EA" w14:textId="77777777" w:rsidR="00F65DFC" w:rsidRDefault="00F65DFC" w:rsidP="007A4637">
            <w:pPr>
              <w:pStyle w:val="TableParagraph"/>
              <w:spacing w:line="150" w:lineRule="exact"/>
              <w:ind w:left="490" w:right="455"/>
              <w:jc w:val="center"/>
              <w:rPr>
                <w:sz w:val="16"/>
              </w:rPr>
            </w:pPr>
            <w:r>
              <w:rPr>
                <w:w w:val="95"/>
                <w:sz w:val="16"/>
              </w:rPr>
              <w:t>0.02</w:t>
            </w:r>
          </w:p>
        </w:tc>
        <w:tc>
          <w:tcPr>
            <w:tcW w:w="977" w:type="dxa"/>
          </w:tcPr>
          <w:p w14:paraId="78266B8B" w14:textId="77777777" w:rsidR="00F65DFC" w:rsidRDefault="00F65DFC" w:rsidP="007A4637">
            <w:pPr>
              <w:pStyle w:val="TableParagraph"/>
              <w:spacing w:line="150" w:lineRule="exact"/>
              <w:ind w:right="120"/>
              <w:jc w:val="right"/>
              <w:rPr>
                <w:sz w:val="16"/>
              </w:rPr>
            </w:pPr>
            <w:r>
              <w:rPr>
                <w:w w:val="95"/>
                <w:sz w:val="16"/>
              </w:rPr>
              <w:t>0.509</w:t>
            </w:r>
          </w:p>
        </w:tc>
        <w:tc>
          <w:tcPr>
            <w:tcW w:w="503" w:type="dxa"/>
          </w:tcPr>
          <w:p w14:paraId="74F8B605" w14:textId="77777777" w:rsidR="00F65DFC" w:rsidRDefault="00F65DFC" w:rsidP="007A4637">
            <w:pPr>
              <w:pStyle w:val="TableParagraph"/>
              <w:spacing w:line="150" w:lineRule="exact"/>
              <w:ind w:left="86" w:right="9"/>
              <w:jc w:val="center"/>
              <w:rPr>
                <w:sz w:val="16"/>
              </w:rPr>
            </w:pPr>
            <w:r>
              <w:rPr>
                <w:w w:val="95"/>
                <w:sz w:val="16"/>
              </w:rPr>
              <w:t>0.611</w:t>
            </w:r>
          </w:p>
        </w:tc>
      </w:tr>
      <w:tr w:rsidR="00F65DFC" w14:paraId="00C1BDBC" w14:textId="77777777" w:rsidTr="007A4637">
        <w:trPr>
          <w:trHeight w:val="188"/>
        </w:trPr>
        <w:tc>
          <w:tcPr>
            <w:tcW w:w="1702" w:type="dxa"/>
          </w:tcPr>
          <w:p w14:paraId="35DE5DD8" w14:textId="77777777" w:rsidR="00F65DFC" w:rsidRDefault="00F65DFC" w:rsidP="007A4637">
            <w:pPr>
              <w:pStyle w:val="TableParagraph"/>
              <w:spacing w:line="168" w:lineRule="exact"/>
              <w:ind w:left="50"/>
              <w:rPr>
                <w:sz w:val="16"/>
              </w:rPr>
            </w:pPr>
            <w:r>
              <w:rPr>
                <w:sz w:val="16"/>
              </w:rPr>
              <w:t>Organization</w:t>
            </w:r>
          </w:p>
        </w:tc>
        <w:tc>
          <w:tcPr>
            <w:tcW w:w="1355" w:type="dxa"/>
          </w:tcPr>
          <w:p w14:paraId="2EC30009" w14:textId="77777777" w:rsidR="00F65DFC" w:rsidRDefault="00F65DFC" w:rsidP="007A4637">
            <w:pPr>
              <w:pStyle w:val="TableParagraph"/>
              <w:spacing w:line="168" w:lineRule="exact"/>
              <w:ind w:right="456"/>
              <w:jc w:val="right"/>
              <w:rPr>
                <w:sz w:val="16"/>
              </w:rPr>
            </w:pPr>
            <w:r>
              <w:rPr>
                <w:rFonts w:ascii="Lucida Sans Unicode" w:hAnsi="Lucida Sans Unicode"/>
                <w:w w:val="95"/>
                <w:sz w:val="16"/>
              </w:rPr>
              <w:t>−</w:t>
            </w:r>
            <w:r>
              <w:rPr>
                <w:w w:val="95"/>
                <w:sz w:val="16"/>
              </w:rPr>
              <w:t>0.009</w:t>
            </w:r>
          </w:p>
        </w:tc>
        <w:tc>
          <w:tcPr>
            <w:tcW w:w="1205" w:type="dxa"/>
          </w:tcPr>
          <w:p w14:paraId="09E52793" w14:textId="77777777" w:rsidR="00F65DFC" w:rsidRDefault="00F65DFC" w:rsidP="007A4637">
            <w:pPr>
              <w:pStyle w:val="TableParagraph"/>
              <w:spacing w:line="168" w:lineRule="exact"/>
              <w:ind w:left="460"/>
              <w:rPr>
                <w:sz w:val="16"/>
              </w:rPr>
            </w:pPr>
            <w:r>
              <w:rPr>
                <w:w w:val="95"/>
                <w:sz w:val="16"/>
              </w:rPr>
              <w:t>0.007</w:t>
            </w:r>
          </w:p>
        </w:tc>
        <w:tc>
          <w:tcPr>
            <w:tcW w:w="1270" w:type="dxa"/>
          </w:tcPr>
          <w:p w14:paraId="372BDEC3" w14:textId="77777777" w:rsidR="00F65DFC" w:rsidRDefault="00F65DFC" w:rsidP="007A4637">
            <w:pPr>
              <w:pStyle w:val="TableParagraph"/>
              <w:spacing w:line="168" w:lineRule="exact"/>
              <w:ind w:right="412"/>
              <w:jc w:val="right"/>
              <w:rPr>
                <w:sz w:val="16"/>
              </w:rPr>
            </w:pPr>
            <w:r>
              <w:rPr>
                <w:rFonts w:ascii="Lucida Sans Unicode" w:hAnsi="Lucida Sans Unicode"/>
                <w:w w:val="95"/>
                <w:sz w:val="16"/>
              </w:rPr>
              <w:t>−</w:t>
            </w:r>
            <w:r>
              <w:rPr>
                <w:w w:val="95"/>
                <w:sz w:val="16"/>
              </w:rPr>
              <w:t>0.046</w:t>
            </w:r>
          </w:p>
        </w:tc>
        <w:tc>
          <w:tcPr>
            <w:tcW w:w="977" w:type="dxa"/>
          </w:tcPr>
          <w:p w14:paraId="290DA6B3" w14:textId="77777777" w:rsidR="00F65DFC" w:rsidRDefault="00F65DFC" w:rsidP="007A4637">
            <w:pPr>
              <w:pStyle w:val="TableParagraph"/>
              <w:spacing w:line="168" w:lineRule="exact"/>
              <w:ind w:right="119"/>
              <w:jc w:val="right"/>
              <w:rPr>
                <w:sz w:val="16"/>
              </w:rPr>
            </w:pPr>
            <w:r>
              <w:rPr>
                <w:rFonts w:ascii="Lucida Sans Unicode" w:hAnsi="Lucida Sans Unicode"/>
                <w:w w:val="95"/>
                <w:sz w:val="16"/>
              </w:rPr>
              <w:t>−</w:t>
            </w:r>
            <w:r>
              <w:rPr>
                <w:w w:val="95"/>
                <w:sz w:val="16"/>
              </w:rPr>
              <w:t>1.269</w:t>
            </w:r>
          </w:p>
        </w:tc>
        <w:tc>
          <w:tcPr>
            <w:tcW w:w="503" w:type="dxa"/>
          </w:tcPr>
          <w:p w14:paraId="0BC0DBED" w14:textId="77777777" w:rsidR="00F65DFC" w:rsidRDefault="00F65DFC" w:rsidP="007A4637">
            <w:pPr>
              <w:pStyle w:val="TableParagraph"/>
              <w:spacing w:line="168" w:lineRule="exact"/>
              <w:ind w:left="86" w:right="9"/>
              <w:jc w:val="center"/>
              <w:rPr>
                <w:sz w:val="16"/>
              </w:rPr>
            </w:pPr>
            <w:r>
              <w:rPr>
                <w:w w:val="95"/>
                <w:sz w:val="16"/>
              </w:rPr>
              <w:t>0.205</w:t>
            </w:r>
          </w:p>
        </w:tc>
      </w:tr>
      <w:tr w:rsidR="00F65DFC" w14:paraId="21F777A0" w14:textId="77777777" w:rsidTr="007A4637">
        <w:trPr>
          <w:trHeight w:val="192"/>
        </w:trPr>
        <w:tc>
          <w:tcPr>
            <w:tcW w:w="1702" w:type="dxa"/>
          </w:tcPr>
          <w:p w14:paraId="23989656" w14:textId="77777777" w:rsidR="00F65DFC" w:rsidRDefault="00F65DFC" w:rsidP="007A4637">
            <w:pPr>
              <w:pStyle w:val="TableParagraph"/>
              <w:spacing w:line="172" w:lineRule="exact"/>
              <w:ind w:left="50"/>
              <w:rPr>
                <w:sz w:val="16"/>
              </w:rPr>
            </w:pPr>
            <w:r>
              <w:rPr>
                <w:w w:val="95"/>
                <w:sz w:val="16"/>
              </w:rPr>
              <w:t>Social</w:t>
            </w:r>
            <w:r>
              <w:rPr>
                <w:spacing w:val="7"/>
                <w:w w:val="95"/>
                <w:sz w:val="16"/>
              </w:rPr>
              <w:t xml:space="preserve"> </w:t>
            </w:r>
            <w:r>
              <w:rPr>
                <w:w w:val="95"/>
                <w:sz w:val="16"/>
              </w:rPr>
              <w:t>media</w:t>
            </w:r>
            <w:r>
              <w:rPr>
                <w:spacing w:val="7"/>
                <w:w w:val="95"/>
                <w:sz w:val="16"/>
              </w:rPr>
              <w:t xml:space="preserve"> </w:t>
            </w:r>
            <w:r>
              <w:rPr>
                <w:w w:val="95"/>
                <w:sz w:val="16"/>
              </w:rPr>
              <w:t>skills</w:t>
            </w:r>
          </w:p>
        </w:tc>
        <w:tc>
          <w:tcPr>
            <w:tcW w:w="1355" w:type="dxa"/>
          </w:tcPr>
          <w:p w14:paraId="2FCC2E32" w14:textId="77777777" w:rsidR="00F65DFC" w:rsidRDefault="00F65DFC" w:rsidP="007A4637">
            <w:pPr>
              <w:pStyle w:val="TableParagraph"/>
              <w:spacing w:line="172" w:lineRule="exact"/>
              <w:ind w:right="456"/>
              <w:jc w:val="right"/>
              <w:rPr>
                <w:sz w:val="16"/>
              </w:rPr>
            </w:pPr>
            <w:r>
              <w:rPr>
                <w:rFonts w:ascii="Lucida Sans Unicode" w:hAnsi="Lucida Sans Unicode"/>
                <w:w w:val="95"/>
                <w:sz w:val="16"/>
              </w:rPr>
              <w:t>−</w:t>
            </w:r>
            <w:r>
              <w:rPr>
                <w:w w:val="95"/>
                <w:sz w:val="16"/>
              </w:rPr>
              <w:t>0.025</w:t>
            </w:r>
          </w:p>
        </w:tc>
        <w:tc>
          <w:tcPr>
            <w:tcW w:w="1205" w:type="dxa"/>
          </w:tcPr>
          <w:p w14:paraId="4715080C" w14:textId="77777777" w:rsidR="00F65DFC" w:rsidRDefault="00F65DFC" w:rsidP="007A4637">
            <w:pPr>
              <w:pStyle w:val="TableParagraph"/>
              <w:spacing w:line="172" w:lineRule="exact"/>
              <w:ind w:left="460"/>
              <w:rPr>
                <w:sz w:val="16"/>
              </w:rPr>
            </w:pPr>
            <w:r>
              <w:rPr>
                <w:w w:val="95"/>
                <w:sz w:val="16"/>
              </w:rPr>
              <w:t>0.012</w:t>
            </w:r>
          </w:p>
        </w:tc>
        <w:tc>
          <w:tcPr>
            <w:tcW w:w="1270" w:type="dxa"/>
          </w:tcPr>
          <w:p w14:paraId="0CE28852" w14:textId="77777777" w:rsidR="00F65DFC" w:rsidRDefault="00F65DFC" w:rsidP="007A4637">
            <w:pPr>
              <w:pStyle w:val="TableParagraph"/>
              <w:spacing w:line="172" w:lineRule="exact"/>
              <w:ind w:right="412"/>
              <w:jc w:val="right"/>
              <w:rPr>
                <w:sz w:val="16"/>
              </w:rPr>
            </w:pPr>
            <w:r>
              <w:rPr>
                <w:rFonts w:ascii="Lucida Sans Unicode" w:hAnsi="Lucida Sans Unicode"/>
                <w:w w:val="95"/>
                <w:sz w:val="16"/>
              </w:rPr>
              <w:t>−</w:t>
            </w:r>
            <w:r>
              <w:rPr>
                <w:w w:val="95"/>
                <w:sz w:val="16"/>
              </w:rPr>
              <w:t>0.071</w:t>
            </w:r>
          </w:p>
        </w:tc>
        <w:tc>
          <w:tcPr>
            <w:tcW w:w="977" w:type="dxa"/>
          </w:tcPr>
          <w:p w14:paraId="69946663" w14:textId="77777777" w:rsidR="00F65DFC" w:rsidRDefault="00F65DFC" w:rsidP="007A4637">
            <w:pPr>
              <w:pStyle w:val="TableParagraph"/>
              <w:spacing w:line="172" w:lineRule="exact"/>
              <w:ind w:right="119"/>
              <w:jc w:val="right"/>
              <w:rPr>
                <w:sz w:val="16"/>
              </w:rPr>
            </w:pPr>
            <w:r>
              <w:rPr>
                <w:rFonts w:ascii="Lucida Sans Unicode" w:hAnsi="Lucida Sans Unicode"/>
                <w:w w:val="95"/>
                <w:sz w:val="16"/>
              </w:rPr>
              <w:t>−</w:t>
            </w:r>
            <w:r>
              <w:rPr>
                <w:w w:val="95"/>
                <w:sz w:val="16"/>
              </w:rPr>
              <w:t>1.972</w:t>
            </w:r>
          </w:p>
        </w:tc>
        <w:tc>
          <w:tcPr>
            <w:tcW w:w="503" w:type="dxa"/>
          </w:tcPr>
          <w:p w14:paraId="7D28D16F" w14:textId="77777777" w:rsidR="00F65DFC" w:rsidRDefault="00F65DFC" w:rsidP="007A4637">
            <w:pPr>
              <w:pStyle w:val="TableParagraph"/>
              <w:spacing w:line="172" w:lineRule="exact"/>
              <w:ind w:left="86" w:right="9"/>
              <w:jc w:val="center"/>
              <w:rPr>
                <w:sz w:val="16"/>
              </w:rPr>
            </w:pPr>
            <w:r>
              <w:rPr>
                <w:w w:val="95"/>
                <w:sz w:val="16"/>
              </w:rPr>
              <w:t>0.049</w:t>
            </w:r>
          </w:p>
        </w:tc>
      </w:tr>
    </w:tbl>
    <w:p w14:paraId="3B4CBB42" w14:textId="1E548AB4" w:rsidR="00F65DFC" w:rsidRPr="00F65DFC" w:rsidRDefault="00F65DFC" w:rsidP="00F65DFC">
      <w:pPr>
        <w:pStyle w:val="Normal1"/>
        <w:spacing w:after="0" w:line="480" w:lineRule="auto"/>
        <w:contextualSpacing/>
        <w:outlineLvl w:val="0"/>
        <w:rPr>
          <w:rFonts w:ascii="Times New Roman" w:eastAsia="Times New Roman" w:hAnsi="Times New Roman" w:cs="Times New Roman"/>
          <w:bCs/>
          <w:color w:val="000000" w:themeColor="text1"/>
          <w:sz w:val="24"/>
          <w:szCs w:val="24"/>
        </w:rPr>
      </w:pPr>
      <w:r w:rsidRPr="00F65DFC">
        <w:rPr>
          <w:rFonts w:ascii="Times New Roman" w:eastAsia="Times New Roman" w:hAnsi="Times New Roman" w:cs="Times New Roman"/>
          <w:bCs/>
          <w:color w:val="000000" w:themeColor="text1"/>
          <w:sz w:val="24"/>
          <w:szCs w:val="24"/>
        </w:rPr>
        <w:t>Table IV. Multiple regression analysis of predictors</w:t>
      </w:r>
      <w:r>
        <w:rPr>
          <w:rFonts w:ascii="Times New Roman" w:eastAsia="Times New Roman" w:hAnsi="Times New Roman" w:cs="Times New Roman"/>
          <w:bCs/>
          <w:color w:val="000000" w:themeColor="text1"/>
          <w:sz w:val="24"/>
          <w:szCs w:val="24"/>
        </w:rPr>
        <w:t xml:space="preserve"> of resilience</w:t>
      </w:r>
    </w:p>
    <w:p w14:paraId="2BC2C911" w14:textId="167C581B" w:rsidR="00701FB0" w:rsidRPr="0090305A" w:rsidRDefault="00537982" w:rsidP="00EE7802">
      <w:pPr>
        <w:pStyle w:val="Normal1"/>
        <w:spacing w:after="0" w:line="480" w:lineRule="auto"/>
        <w:contextualSpacing/>
        <w:jc w:val="center"/>
        <w:outlineLvl w:val="0"/>
        <w:rPr>
          <w:rFonts w:ascii="Times New Roman" w:hAnsi="Times New Roman" w:cs="Times New Roman"/>
          <w:b/>
          <w:color w:val="000000" w:themeColor="text1"/>
          <w:sz w:val="24"/>
          <w:szCs w:val="24"/>
        </w:rPr>
      </w:pPr>
      <w:r w:rsidRPr="0090305A">
        <w:rPr>
          <w:rFonts w:ascii="Times New Roman" w:eastAsia="Times New Roman" w:hAnsi="Times New Roman" w:cs="Times New Roman"/>
          <w:b/>
          <w:color w:val="000000" w:themeColor="text1"/>
          <w:sz w:val="24"/>
          <w:szCs w:val="24"/>
        </w:rPr>
        <w:t>Discussion and conclusion</w:t>
      </w:r>
    </w:p>
    <w:p w14:paraId="52702921" w14:textId="572DBB5D" w:rsidR="00036EA0" w:rsidRDefault="0020741F" w:rsidP="00036EA0">
      <w:pPr>
        <w:pStyle w:val="Normal1"/>
        <w:spacing w:after="0" w:line="480" w:lineRule="auto"/>
        <w:ind w:firstLine="72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w:t>
      </w:r>
      <w:r w:rsidR="00E86C2E">
        <w:rPr>
          <w:rFonts w:ascii="Times New Roman" w:hAnsi="Times New Roman" w:cs="Times New Roman"/>
          <w:color w:val="000000" w:themeColor="text1"/>
          <w:sz w:val="24"/>
          <w:szCs w:val="24"/>
        </w:rPr>
        <w:t>esilience</w:t>
      </w:r>
      <w:r w:rsidR="00E86C2E" w:rsidRPr="00E86C2E">
        <w:rPr>
          <w:rFonts w:ascii="Times New Roman" w:hAnsi="Times New Roman" w:cs="Times New Roman"/>
          <w:color w:val="000000" w:themeColor="text1"/>
          <w:sz w:val="24"/>
          <w:szCs w:val="24"/>
        </w:rPr>
        <w:t xml:space="preserve"> is a process that unfolds over a person’s career, involving an interaction between characteristics of the individual and the</w:t>
      </w:r>
      <w:r w:rsidR="004C2778">
        <w:rPr>
          <w:rFonts w:ascii="Times New Roman" w:hAnsi="Times New Roman" w:cs="Times New Roman"/>
          <w:color w:val="000000" w:themeColor="text1"/>
          <w:sz w:val="24"/>
          <w:szCs w:val="24"/>
        </w:rPr>
        <w:t xml:space="preserve"> workplace</w:t>
      </w:r>
      <w:r w:rsidR="00E86C2E" w:rsidRPr="00E86C2E">
        <w:rPr>
          <w:rFonts w:ascii="Times New Roman" w:hAnsi="Times New Roman" w:cs="Times New Roman"/>
          <w:color w:val="000000" w:themeColor="text1"/>
          <w:sz w:val="24"/>
          <w:szCs w:val="24"/>
        </w:rPr>
        <w:t xml:space="preserve"> context. It becomes </w:t>
      </w:r>
      <w:r>
        <w:rPr>
          <w:rFonts w:ascii="Times New Roman" w:hAnsi="Times New Roman" w:cs="Times New Roman"/>
          <w:color w:val="000000" w:themeColor="text1"/>
          <w:sz w:val="24"/>
          <w:szCs w:val="24"/>
        </w:rPr>
        <w:t xml:space="preserve">especially </w:t>
      </w:r>
      <w:r w:rsidR="00E86C2E">
        <w:rPr>
          <w:rFonts w:ascii="Times New Roman" w:hAnsi="Times New Roman" w:cs="Times New Roman"/>
          <w:color w:val="000000" w:themeColor="text1"/>
          <w:sz w:val="24"/>
          <w:szCs w:val="24"/>
        </w:rPr>
        <w:t>relevant</w:t>
      </w:r>
      <w:r w:rsidR="00E86C2E" w:rsidRPr="00E86C2E">
        <w:rPr>
          <w:rFonts w:ascii="Times New Roman" w:hAnsi="Times New Roman" w:cs="Times New Roman"/>
          <w:color w:val="000000" w:themeColor="text1"/>
          <w:sz w:val="24"/>
          <w:szCs w:val="24"/>
        </w:rPr>
        <w:t xml:space="preserve"> when </w:t>
      </w:r>
      <w:r w:rsidR="00E86C2E">
        <w:rPr>
          <w:rFonts w:ascii="Times New Roman" w:hAnsi="Times New Roman" w:cs="Times New Roman"/>
          <w:color w:val="000000" w:themeColor="text1"/>
          <w:sz w:val="24"/>
          <w:szCs w:val="24"/>
        </w:rPr>
        <w:t>professionals</w:t>
      </w:r>
      <w:r w:rsidR="00E86C2E" w:rsidRPr="00E86C2E">
        <w:rPr>
          <w:rFonts w:ascii="Times New Roman" w:hAnsi="Times New Roman" w:cs="Times New Roman"/>
          <w:color w:val="000000" w:themeColor="text1"/>
          <w:sz w:val="24"/>
          <w:szCs w:val="24"/>
        </w:rPr>
        <w:t xml:space="preserve"> are faced with change, adversity, and/or disruptions (Gu &amp; Day, 2013). </w:t>
      </w:r>
      <w:r w:rsidR="004C2778">
        <w:rPr>
          <w:rFonts w:ascii="Times New Roman" w:hAnsi="Times New Roman" w:cs="Times New Roman"/>
          <w:color w:val="000000" w:themeColor="text1"/>
          <w:sz w:val="24"/>
          <w:szCs w:val="24"/>
        </w:rPr>
        <w:t>Research on this topic have found that h</w:t>
      </w:r>
      <w:r w:rsidR="00D540E4" w:rsidRPr="00D540E4">
        <w:rPr>
          <w:rFonts w:ascii="Times New Roman" w:hAnsi="Times New Roman" w:cs="Times New Roman"/>
          <w:color w:val="000000" w:themeColor="text1"/>
          <w:sz w:val="24"/>
          <w:szCs w:val="24"/>
        </w:rPr>
        <w:t xml:space="preserve">ighly resilient individuals </w:t>
      </w:r>
      <w:r w:rsidR="00741A3F" w:rsidRPr="00741A3F">
        <w:rPr>
          <w:rFonts w:ascii="Times New Roman" w:hAnsi="Times New Roman" w:cs="Times New Roman"/>
          <w:color w:val="000000" w:themeColor="text1"/>
          <w:sz w:val="24"/>
          <w:szCs w:val="24"/>
        </w:rPr>
        <w:t>are able to anticipate positive outcomes under adverse conditions, visualize work demands as challenges to be overcome, with confidence in their ability to succeed (Britt &amp; Jex, 2015). Personality facets, coping mechanisms, and social support structures all influence one’s level of resilience</w:t>
      </w:r>
      <w:r w:rsidR="00C17DC6">
        <w:rPr>
          <w:rFonts w:ascii="Times New Roman" w:hAnsi="Times New Roman" w:cs="Times New Roman"/>
          <w:color w:val="000000" w:themeColor="text1"/>
          <w:sz w:val="24"/>
          <w:szCs w:val="24"/>
        </w:rPr>
        <w:t xml:space="preserve"> (</w:t>
      </w:r>
      <w:r w:rsidR="00C17DC6" w:rsidRPr="00025892">
        <w:rPr>
          <w:rFonts w:ascii="Times New Roman" w:hAnsi="Times New Roman" w:cs="Times New Roman"/>
          <w:color w:val="000000" w:themeColor="text1"/>
          <w:sz w:val="24"/>
          <w:szCs w:val="24"/>
        </w:rPr>
        <w:t>Smith, Emerson, Haight, Mauldin, &amp; Wood, 2019).</w:t>
      </w:r>
      <w:r w:rsidR="00397DAF">
        <w:rPr>
          <w:rFonts w:ascii="Times New Roman" w:hAnsi="Times New Roman" w:cs="Times New Roman"/>
          <w:color w:val="000000" w:themeColor="text1"/>
          <w:sz w:val="24"/>
          <w:szCs w:val="24"/>
        </w:rPr>
        <w:t xml:space="preserve"> </w:t>
      </w:r>
      <w:r w:rsidR="00C866F2" w:rsidRPr="00C866F2">
        <w:rPr>
          <w:rFonts w:ascii="Times New Roman" w:hAnsi="Times New Roman" w:cs="Times New Roman"/>
          <w:color w:val="000000" w:themeColor="text1"/>
          <w:sz w:val="24"/>
          <w:szCs w:val="24"/>
        </w:rPr>
        <w:t>The general objective of this study was to explore</w:t>
      </w:r>
      <w:r w:rsidR="007822F9">
        <w:rPr>
          <w:rFonts w:ascii="Times New Roman" w:hAnsi="Times New Roman" w:cs="Times New Roman"/>
          <w:color w:val="000000" w:themeColor="text1"/>
          <w:sz w:val="24"/>
          <w:szCs w:val="24"/>
        </w:rPr>
        <w:t xml:space="preserve"> </w:t>
      </w:r>
      <w:r w:rsidR="00FC729D" w:rsidRPr="0090305A">
        <w:rPr>
          <w:rFonts w:ascii="Times New Roman" w:hAnsi="Times New Roman" w:cs="Times New Roman"/>
          <w:color w:val="000000" w:themeColor="text1"/>
          <w:sz w:val="24"/>
          <w:szCs w:val="24"/>
        </w:rPr>
        <w:t>Latin American public relations practitioners’</w:t>
      </w:r>
      <w:r w:rsidR="004E7644" w:rsidRPr="0090305A">
        <w:rPr>
          <w:rFonts w:ascii="Times New Roman" w:hAnsi="Times New Roman" w:cs="Times New Roman"/>
          <w:color w:val="000000" w:themeColor="text1"/>
          <w:sz w:val="24"/>
          <w:szCs w:val="24"/>
        </w:rPr>
        <w:t xml:space="preserve"> level of resilience,</w:t>
      </w:r>
      <w:r w:rsidR="00FC729D" w:rsidRPr="0090305A">
        <w:rPr>
          <w:rFonts w:ascii="Times New Roman" w:hAnsi="Times New Roman" w:cs="Times New Roman"/>
          <w:color w:val="000000" w:themeColor="text1"/>
          <w:sz w:val="24"/>
          <w:szCs w:val="24"/>
        </w:rPr>
        <w:t xml:space="preserve"> measure the </w:t>
      </w:r>
      <w:r w:rsidR="007822F9">
        <w:rPr>
          <w:rFonts w:ascii="Times New Roman" w:hAnsi="Times New Roman" w:cs="Times New Roman"/>
          <w:color w:val="000000" w:themeColor="text1"/>
          <w:sz w:val="24"/>
          <w:szCs w:val="24"/>
        </w:rPr>
        <w:t>effect</w:t>
      </w:r>
      <w:r w:rsidR="007822F9" w:rsidRPr="0090305A">
        <w:rPr>
          <w:rFonts w:ascii="Times New Roman" w:hAnsi="Times New Roman" w:cs="Times New Roman"/>
          <w:color w:val="000000" w:themeColor="text1"/>
          <w:sz w:val="24"/>
          <w:szCs w:val="24"/>
        </w:rPr>
        <w:t xml:space="preserve"> </w:t>
      </w:r>
      <w:r w:rsidR="00FC729D" w:rsidRPr="0090305A">
        <w:rPr>
          <w:rFonts w:ascii="Times New Roman" w:hAnsi="Times New Roman" w:cs="Times New Roman"/>
          <w:color w:val="000000" w:themeColor="text1"/>
          <w:sz w:val="24"/>
          <w:szCs w:val="24"/>
        </w:rPr>
        <w:t xml:space="preserve">of </w:t>
      </w:r>
      <w:r w:rsidR="007817B0" w:rsidRPr="0090305A">
        <w:rPr>
          <w:rFonts w:ascii="Times New Roman" w:hAnsi="Times New Roman" w:cs="Times New Roman"/>
          <w:color w:val="000000" w:themeColor="text1"/>
          <w:sz w:val="24"/>
          <w:szCs w:val="24"/>
        </w:rPr>
        <w:t>socio</w:t>
      </w:r>
      <w:r w:rsidR="00FC729D" w:rsidRPr="0090305A">
        <w:rPr>
          <w:rFonts w:ascii="Times New Roman" w:hAnsi="Times New Roman" w:cs="Times New Roman"/>
          <w:color w:val="000000" w:themeColor="text1"/>
          <w:sz w:val="24"/>
          <w:szCs w:val="24"/>
        </w:rPr>
        <w:t>demogra</w:t>
      </w:r>
      <w:r w:rsidR="004E7644" w:rsidRPr="0090305A">
        <w:rPr>
          <w:rFonts w:ascii="Times New Roman" w:hAnsi="Times New Roman" w:cs="Times New Roman"/>
          <w:color w:val="000000" w:themeColor="text1"/>
          <w:sz w:val="24"/>
          <w:szCs w:val="24"/>
        </w:rPr>
        <w:t>phic and work-related variables</w:t>
      </w:r>
      <w:r w:rsidR="007822F9">
        <w:rPr>
          <w:rFonts w:ascii="Times New Roman" w:hAnsi="Times New Roman" w:cs="Times New Roman"/>
          <w:color w:val="000000" w:themeColor="text1"/>
          <w:sz w:val="24"/>
          <w:szCs w:val="24"/>
        </w:rPr>
        <w:t>,</w:t>
      </w:r>
      <w:r w:rsidR="004E7644" w:rsidRPr="0090305A">
        <w:rPr>
          <w:rFonts w:ascii="Times New Roman" w:hAnsi="Times New Roman" w:cs="Times New Roman"/>
          <w:color w:val="000000" w:themeColor="text1"/>
          <w:sz w:val="24"/>
          <w:szCs w:val="24"/>
        </w:rPr>
        <w:t xml:space="preserve"> and to</w:t>
      </w:r>
      <w:r w:rsidR="002B053E" w:rsidRPr="0090305A">
        <w:rPr>
          <w:rFonts w:ascii="Times New Roman" w:hAnsi="Times New Roman" w:cs="Times New Roman"/>
          <w:color w:val="000000" w:themeColor="text1"/>
          <w:sz w:val="24"/>
          <w:szCs w:val="24"/>
        </w:rPr>
        <w:t xml:space="preserve"> examine psychometric properties of the CD-RISC in the public relations field.</w:t>
      </w:r>
      <w:r w:rsidR="005071F6" w:rsidRPr="0090305A">
        <w:rPr>
          <w:rFonts w:ascii="Times New Roman" w:hAnsi="Times New Roman" w:cs="Times New Roman"/>
          <w:color w:val="000000" w:themeColor="text1"/>
          <w:sz w:val="24"/>
          <w:szCs w:val="24"/>
        </w:rPr>
        <w:t xml:space="preserve"> </w:t>
      </w:r>
    </w:p>
    <w:p w14:paraId="790BD099" w14:textId="1079BC73" w:rsidR="0048350D" w:rsidRPr="0090305A" w:rsidRDefault="005071F6" w:rsidP="0090305A">
      <w:pPr>
        <w:pStyle w:val="Normal1"/>
        <w:spacing w:after="0" w:line="480" w:lineRule="auto"/>
        <w:ind w:firstLine="720"/>
        <w:contextualSpacing/>
        <w:rPr>
          <w:rFonts w:ascii="Times New Roman" w:hAnsi="Times New Roman" w:cs="Times New Roman"/>
          <w:color w:val="000000" w:themeColor="text1"/>
          <w:sz w:val="24"/>
          <w:szCs w:val="24"/>
        </w:rPr>
      </w:pPr>
      <w:r w:rsidRPr="0090305A">
        <w:rPr>
          <w:rFonts w:ascii="Times New Roman" w:hAnsi="Times New Roman" w:cs="Times New Roman"/>
          <w:color w:val="000000" w:themeColor="text1"/>
          <w:sz w:val="24"/>
          <w:szCs w:val="24"/>
        </w:rPr>
        <w:t xml:space="preserve">The average scale CD-RISC score reported in the current study was reasonably high (M = 77.11, </w:t>
      </w:r>
      <w:r w:rsidRPr="0090305A">
        <w:rPr>
          <w:rFonts w:ascii="Times New Roman" w:hAnsi="Times New Roman" w:cs="Times New Roman"/>
          <w:i/>
          <w:color w:val="000000" w:themeColor="text1"/>
          <w:sz w:val="24"/>
          <w:szCs w:val="24"/>
        </w:rPr>
        <w:t>SD</w:t>
      </w:r>
      <w:r w:rsidRPr="0090305A">
        <w:rPr>
          <w:rFonts w:ascii="Times New Roman" w:hAnsi="Times New Roman" w:cs="Times New Roman"/>
          <w:color w:val="000000" w:themeColor="text1"/>
          <w:sz w:val="24"/>
          <w:szCs w:val="24"/>
        </w:rPr>
        <w:t xml:space="preserve"> =22.28), </w:t>
      </w:r>
      <w:r w:rsidR="00F82241" w:rsidRPr="0090305A">
        <w:rPr>
          <w:rFonts w:ascii="Times New Roman" w:hAnsi="Times New Roman" w:cs="Times New Roman"/>
          <w:color w:val="000000" w:themeColor="text1"/>
          <w:sz w:val="24"/>
          <w:szCs w:val="24"/>
        </w:rPr>
        <w:t>higher than previous research conducted in Hong Kong (M =</w:t>
      </w:r>
      <w:r w:rsidR="00F82241" w:rsidRPr="0090305A">
        <w:rPr>
          <w:color w:val="000000" w:themeColor="text1"/>
        </w:rPr>
        <w:t xml:space="preserve"> </w:t>
      </w:r>
      <w:r w:rsidR="00F82241" w:rsidRPr="0090305A">
        <w:rPr>
          <w:rFonts w:ascii="Times New Roman" w:hAnsi="Times New Roman" w:cs="Times New Roman"/>
          <w:color w:val="000000" w:themeColor="text1"/>
          <w:sz w:val="24"/>
          <w:szCs w:val="24"/>
        </w:rPr>
        <w:t xml:space="preserve">59.99, SD = </w:t>
      </w:r>
      <w:r w:rsidR="00F82241" w:rsidRPr="0090305A">
        <w:rPr>
          <w:rFonts w:ascii="Times New Roman" w:hAnsi="Times New Roman" w:cs="Times New Roman"/>
          <w:color w:val="000000" w:themeColor="text1"/>
          <w:sz w:val="24"/>
          <w:szCs w:val="24"/>
        </w:rPr>
        <w:lastRenderedPageBreak/>
        <w:t>13.92)</w:t>
      </w:r>
      <w:r w:rsidR="00CA4482" w:rsidRPr="0090305A">
        <w:rPr>
          <w:rFonts w:ascii="Times New Roman" w:hAnsi="Times New Roman" w:cs="Times New Roman"/>
          <w:color w:val="000000" w:themeColor="text1"/>
          <w:sz w:val="24"/>
          <w:szCs w:val="24"/>
        </w:rPr>
        <w:t>,</w:t>
      </w:r>
      <w:r w:rsidR="00867248" w:rsidRPr="0090305A">
        <w:rPr>
          <w:rFonts w:ascii="Times New Roman" w:hAnsi="Times New Roman" w:cs="Times New Roman"/>
          <w:color w:val="000000" w:themeColor="text1"/>
          <w:sz w:val="24"/>
          <w:szCs w:val="24"/>
        </w:rPr>
        <w:t xml:space="preserve"> Korea (M =</w:t>
      </w:r>
      <w:r w:rsidR="00867248" w:rsidRPr="0090305A">
        <w:rPr>
          <w:color w:val="000000" w:themeColor="text1"/>
        </w:rPr>
        <w:t xml:space="preserve"> </w:t>
      </w:r>
      <w:r w:rsidR="00867248" w:rsidRPr="0090305A">
        <w:rPr>
          <w:rFonts w:ascii="Times New Roman" w:hAnsi="Times New Roman" w:cs="Times New Roman"/>
          <w:color w:val="000000" w:themeColor="text1"/>
          <w:sz w:val="24"/>
          <w:szCs w:val="24"/>
        </w:rPr>
        <w:t>61.2, SD = 13)</w:t>
      </w:r>
      <w:r w:rsidR="00F82241" w:rsidRPr="0090305A">
        <w:rPr>
          <w:rFonts w:ascii="Times New Roman" w:hAnsi="Times New Roman" w:cs="Times New Roman"/>
          <w:color w:val="000000" w:themeColor="text1"/>
          <w:sz w:val="24"/>
          <w:szCs w:val="24"/>
        </w:rPr>
        <w:t>,</w:t>
      </w:r>
      <w:r w:rsidR="00A97938" w:rsidRPr="0090305A">
        <w:rPr>
          <w:rFonts w:ascii="Times New Roman" w:hAnsi="Times New Roman" w:cs="Times New Roman"/>
          <w:color w:val="000000" w:themeColor="text1"/>
          <w:sz w:val="24"/>
          <w:szCs w:val="24"/>
        </w:rPr>
        <w:t xml:space="preserve"> or China (M =</w:t>
      </w:r>
      <w:r w:rsidR="00A97938" w:rsidRPr="0090305A">
        <w:rPr>
          <w:color w:val="000000" w:themeColor="text1"/>
        </w:rPr>
        <w:t xml:space="preserve"> </w:t>
      </w:r>
      <w:r w:rsidR="00A97938" w:rsidRPr="0090305A">
        <w:rPr>
          <w:rFonts w:ascii="Times New Roman" w:hAnsi="Times New Roman" w:cs="Times New Roman"/>
          <w:color w:val="000000" w:themeColor="text1"/>
          <w:sz w:val="24"/>
          <w:szCs w:val="24"/>
        </w:rPr>
        <w:t>63.4, SD = 13.1)</w:t>
      </w:r>
      <w:r w:rsidR="003A3DF8" w:rsidRPr="0090305A">
        <w:rPr>
          <w:rFonts w:ascii="Times New Roman" w:hAnsi="Times New Roman" w:cs="Times New Roman"/>
          <w:color w:val="000000" w:themeColor="text1"/>
          <w:sz w:val="24"/>
          <w:szCs w:val="24"/>
        </w:rPr>
        <w:t>,</w:t>
      </w:r>
      <w:r w:rsidR="00F82241" w:rsidRPr="0090305A">
        <w:rPr>
          <w:rFonts w:ascii="Times New Roman" w:hAnsi="Times New Roman" w:cs="Times New Roman"/>
          <w:color w:val="000000" w:themeColor="text1"/>
          <w:sz w:val="24"/>
          <w:szCs w:val="24"/>
        </w:rPr>
        <w:t xml:space="preserve"> but </w:t>
      </w:r>
      <w:r w:rsidRPr="0090305A">
        <w:rPr>
          <w:rFonts w:ascii="Times New Roman" w:hAnsi="Times New Roman" w:cs="Times New Roman"/>
          <w:color w:val="000000" w:themeColor="text1"/>
          <w:sz w:val="24"/>
          <w:szCs w:val="24"/>
        </w:rPr>
        <w:t xml:space="preserve">somewhat lower than Connor and Davidson’s (2003) sample of the general population </w:t>
      </w:r>
      <w:r w:rsidR="00F82241" w:rsidRPr="0090305A">
        <w:rPr>
          <w:rFonts w:ascii="Times New Roman" w:hAnsi="Times New Roman" w:cs="Times New Roman"/>
          <w:color w:val="000000" w:themeColor="text1"/>
          <w:sz w:val="24"/>
          <w:szCs w:val="24"/>
        </w:rPr>
        <w:t>(</w:t>
      </w:r>
      <w:r w:rsidRPr="0090305A">
        <w:rPr>
          <w:rFonts w:ascii="Times New Roman" w:hAnsi="Times New Roman" w:cs="Times New Roman"/>
          <w:color w:val="000000" w:themeColor="text1"/>
          <w:sz w:val="24"/>
          <w:szCs w:val="24"/>
        </w:rPr>
        <w:t xml:space="preserve">M =80.4, </w:t>
      </w:r>
      <w:r w:rsidRPr="0090305A">
        <w:rPr>
          <w:rFonts w:ascii="Times New Roman" w:hAnsi="Times New Roman" w:cs="Times New Roman"/>
          <w:i/>
          <w:color w:val="000000" w:themeColor="text1"/>
          <w:sz w:val="24"/>
          <w:szCs w:val="24"/>
        </w:rPr>
        <w:t>SD</w:t>
      </w:r>
      <w:r w:rsidRPr="0090305A">
        <w:rPr>
          <w:rFonts w:ascii="Times New Roman" w:hAnsi="Times New Roman" w:cs="Times New Roman"/>
          <w:color w:val="000000" w:themeColor="text1"/>
          <w:sz w:val="24"/>
          <w:szCs w:val="24"/>
        </w:rPr>
        <w:t>=12.8).</w:t>
      </w:r>
      <w:r w:rsidR="004915CE" w:rsidRPr="0090305A">
        <w:rPr>
          <w:rFonts w:ascii="Times New Roman" w:hAnsi="Times New Roman" w:cs="Times New Roman"/>
          <w:color w:val="000000" w:themeColor="text1"/>
          <w:sz w:val="24"/>
          <w:szCs w:val="24"/>
        </w:rPr>
        <w:t xml:space="preserve"> </w:t>
      </w:r>
      <w:r w:rsidR="00B32A7B" w:rsidRPr="0090305A">
        <w:rPr>
          <w:rFonts w:ascii="Times New Roman" w:hAnsi="Times New Roman" w:cs="Times New Roman"/>
          <w:color w:val="000000" w:themeColor="text1"/>
          <w:sz w:val="24"/>
          <w:szCs w:val="24"/>
        </w:rPr>
        <w:t>The</w:t>
      </w:r>
      <w:r w:rsidR="0048350D" w:rsidRPr="0090305A">
        <w:rPr>
          <w:rFonts w:ascii="Times New Roman" w:hAnsi="Times New Roman" w:cs="Times New Roman"/>
          <w:color w:val="000000" w:themeColor="text1"/>
          <w:sz w:val="24"/>
          <w:szCs w:val="24"/>
        </w:rPr>
        <w:t xml:space="preserve"> scale demonstrated good internal consistency (Cronbach’s apha = 0.89) and the weights in factor analysis were within the range of 0.38-0.64 in our study and within the range of 0.30-0.70 in the original (Connor &amp; Davidson, 2003).</w:t>
      </w:r>
      <w:r w:rsidR="007E116E" w:rsidRPr="0090305A">
        <w:rPr>
          <w:rFonts w:ascii="Times New Roman" w:hAnsi="Times New Roman" w:cs="Times New Roman"/>
          <w:color w:val="000000" w:themeColor="text1"/>
          <w:sz w:val="24"/>
          <w:szCs w:val="24"/>
        </w:rPr>
        <w:t xml:space="preserve"> The reliability coefficient in the Latin American context of the CD-RISC was 0.89, consistent with Connor and Davidson’s study (á=0.89), Singh and Yu (á=0.89) and also Lamond et al. (2008), who observed á= 0.92.</w:t>
      </w:r>
      <w:r w:rsidR="006B29C5" w:rsidRPr="0090305A">
        <w:rPr>
          <w:rFonts w:ascii="Times New Roman" w:hAnsi="Times New Roman" w:cs="Times New Roman"/>
          <w:color w:val="000000" w:themeColor="text1"/>
          <w:sz w:val="24"/>
          <w:szCs w:val="24"/>
        </w:rPr>
        <w:t xml:space="preserve"> Thus, hypothesis 1</w:t>
      </w:r>
      <w:r w:rsidR="00D66BBB" w:rsidRPr="0090305A">
        <w:rPr>
          <w:rFonts w:ascii="Times New Roman" w:hAnsi="Times New Roman" w:cs="Times New Roman"/>
          <w:color w:val="000000" w:themeColor="text1"/>
          <w:sz w:val="24"/>
          <w:szCs w:val="24"/>
        </w:rPr>
        <w:t>a</w:t>
      </w:r>
      <w:r w:rsidR="006B29C5" w:rsidRPr="0090305A">
        <w:rPr>
          <w:rFonts w:ascii="Times New Roman" w:hAnsi="Times New Roman" w:cs="Times New Roman"/>
          <w:color w:val="000000" w:themeColor="text1"/>
          <w:sz w:val="24"/>
          <w:szCs w:val="24"/>
        </w:rPr>
        <w:t xml:space="preserve"> is supported. </w:t>
      </w:r>
    </w:p>
    <w:p w14:paraId="3B131939" w14:textId="0C40C1A4" w:rsidR="009B55DF" w:rsidRPr="0090305A" w:rsidRDefault="0048350D" w:rsidP="003E53AF">
      <w:pPr>
        <w:pStyle w:val="TextoAPA"/>
        <w:outlineLvl w:val="0"/>
        <w:rPr>
          <w:color w:val="000000" w:themeColor="text1"/>
        </w:rPr>
      </w:pPr>
      <w:r w:rsidRPr="0090305A">
        <w:rPr>
          <w:color w:val="000000" w:themeColor="text1"/>
        </w:rPr>
        <w:t xml:space="preserve">Consistent with this study, </w:t>
      </w:r>
      <w:r w:rsidR="003B7681">
        <w:rPr>
          <w:color w:val="000000" w:themeColor="text1"/>
        </w:rPr>
        <w:t>p</w:t>
      </w:r>
      <w:r w:rsidR="004C2778" w:rsidRPr="004C2778">
        <w:rPr>
          <w:color w:val="000000" w:themeColor="text1"/>
        </w:rPr>
        <w:t xml:space="preserve">rior research </w:t>
      </w:r>
      <w:r w:rsidRPr="0090305A">
        <w:rPr>
          <w:color w:val="000000" w:themeColor="text1"/>
        </w:rPr>
        <w:t xml:space="preserve">has found strong psychometric properties for the instrument, but the original factor structure (Connor &amp; Davidson, 2003) was not obtained. </w:t>
      </w:r>
      <w:r w:rsidR="00DD1CB2" w:rsidRPr="0090305A">
        <w:rPr>
          <w:color w:val="000000" w:themeColor="text1"/>
        </w:rPr>
        <w:t>We found that a 4-factor structure of the CD-RISC showed the best goodness of fit in the present study sample compared with the original 5-factor.</w:t>
      </w:r>
      <w:r w:rsidR="006B29C5" w:rsidRPr="0090305A">
        <w:rPr>
          <w:color w:val="000000" w:themeColor="text1"/>
        </w:rPr>
        <w:t xml:space="preserve"> Therefore, Hypothesis </w:t>
      </w:r>
      <w:r w:rsidR="00D66BBB" w:rsidRPr="0090305A">
        <w:rPr>
          <w:color w:val="000000" w:themeColor="text1"/>
        </w:rPr>
        <w:t>1b</w:t>
      </w:r>
      <w:r w:rsidR="006B29C5" w:rsidRPr="0090305A">
        <w:rPr>
          <w:color w:val="000000" w:themeColor="text1"/>
        </w:rPr>
        <w:t xml:space="preserve"> is not confirmed.</w:t>
      </w:r>
      <w:r w:rsidR="00DD1410" w:rsidRPr="0090305A">
        <w:rPr>
          <w:color w:val="000000" w:themeColor="text1"/>
        </w:rPr>
        <w:t xml:space="preserve"> Factor 1 occupies the majority of the explained variance of the present 4-factor structure. It extracts all items from the original 5-factor (factor 1</w:t>
      </w:r>
      <w:r w:rsidR="001D4DDE" w:rsidRPr="0090305A">
        <w:rPr>
          <w:color w:val="000000" w:themeColor="text1"/>
        </w:rPr>
        <w:t>, 3</w:t>
      </w:r>
      <w:r w:rsidR="00DD1410" w:rsidRPr="0090305A">
        <w:rPr>
          <w:color w:val="000000" w:themeColor="text1"/>
        </w:rPr>
        <w:t xml:space="preserve"> and 4)</w:t>
      </w:r>
      <w:r w:rsidR="001D4DDE" w:rsidRPr="0090305A">
        <w:rPr>
          <w:color w:val="000000" w:themeColor="text1"/>
        </w:rPr>
        <w:t>. This factor reflects that employees with higher psychological resilience integrate behaviors of goal orientation when facing adversity and frustration.</w:t>
      </w:r>
      <w:r w:rsidR="00B50B60" w:rsidRPr="0090305A">
        <w:rPr>
          <w:color w:val="000000" w:themeColor="text1"/>
        </w:rPr>
        <w:t xml:space="preserve"> Factor 2 extracts </w:t>
      </w:r>
      <w:r w:rsidR="00C91A42" w:rsidRPr="0090305A">
        <w:rPr>
          <w:color w:val="000000" w:themeColor="text1"/>
        </w:rPr>
        <w:t>all items from the original version factors 1 and 2, and</w:t>
      </w:r>
      <w:r w:rsidR="00B50B60" w:rsidRPr="0090305A">
        <w:rPr>
          <w:color w:val="000000" w:themeColor="text1"/>
        </w:rPr>
        <w:t xml:space="preserve"> reflects </w:t>
      </w:r>
      <w:r w:rsidR="00E23B09" w:rsidRPr="0090305A">
        <w:rPr>
          <w:color w:val="000000" w:themeColor="text1"/>
        </w:rPr>
        <w:t>personal control and hardiness</w:t>
      </w:r>
      <w:r w:rsidR="00B50B60" w:rsidRPr="0090305A">
        <w:rPr>
          <w:color w:val="000000" w:themeColor="text1"/>
        </w:rPr>
        <w:t>.</w:t>
      </w:r>
      <w:r w:rsidR="007804F5" w:rsidRPr="0090305A">
        <w:rPr>
          <w:color w:val="000000" w:themeColor="text1"/>
        </w:rPr>
        <w:t xml:space="preserve"> It suggests that resilient public relations practitioners are subjects who possess skills </w:t>
      </w:r>
      <w:r w:rsidR="00E87620" w:rsidRPr="0090305A">
        <w:rPr>
          <w:color w:val="000000" w:themeColor="text1"/>
        </w:rPr>
        <w:t xml:space="preserve">that enable them to handle adverse situations and feel that </w:t>
      </w:r>
      <w:r w:rsidR="00086E10" w:rsidRPr="0090305A">
        <w:rPr>
          <w:color w:val="000000" w:themeColor="text1"/>
        </w:rPr>
        <w:t>they</w:t>
      </w:r>
      <w:r w:rsidR="00E87620" w:rsidRPr="0090305A">
        <w:rPr>
          <w:color w:val="000000" w:themeColor="text1"/>
        </w:rPr>
        <w:t xml:space="preserve"> have control over their lives. </w:t>
      </w:r>
      <w:r w:rsidR="009F4980" w:rsidRPr="0090305A">
        <w:rPr>
          <w:color w:val="000000" w:themeColor="text1"/>
        </w:rPr>
        <w:t xml:space="preserve">Factor 3 reflects </w:t>
      </w:r>
      <w:r w:rsidR="002F7F3E" w:rsidRPr="0090305A">
        <w:rPr>
          <w:color w:val="000000" w:themeColor="text1"/>
        </w:rPr>
        <w:t>tolerance for negative affect and adaptability</w:t>
      </w:r>
      <w:r w:rsidR="009F4980" w:rsidRPr="0090305A">
        <w:rPr>
          <w:color w:val="000000" w:themeColor="text1"/>
        </w:rPr>
        <w:t>. This is a fundamental f</w:t>
      </w:r>
      <w:r w:rsidR="00B50B60" w:rsidRPr="0090305A">
        <w:rPr>
          <w:color w:val="000000" w:themeColor="text1"/>
        </w:rPr>
        <w:t xml:space="preserve">actor because it not only contains the meaning of striving against difficult situations, but also reflects </w:t>
      </w:r>
      <w:r w:rsidR="009F4980" w:rsidRPr="0090305A">
        <w:rPr>
          <w:color w:val="000000" w:themeColor="text1"/>
        </w:rPr>
        <w:t>the basic meaning of resilience</w:t>
      </w:r>
      <w:r w:rsidR="00B50B60" w:rsidRPr="0090305A">
        <w:rPr>
          <w:color w:val="000000" w:themeColor="text1"/>
        </w:rPr>
        <w:t xml:space="preserve"> and positive psychology</w:t>
      </w:r>
      <w:r w:rsidR="00FF3510" w:rsidRPr="0090305A">
        <w:rPr>
          <w:color w:val="000000" w:themeColor="text1"/>
        </w:rPr>
        <w:t>.</w:t>
      </w:r>
      <w:r w:rsidR="00FF7B44" w:rsidRPr="0090305A">
        <w:rPr>
          <w:color w:val="000000" w:themeColor="text1"/>
        </w:rPr>
        <w:t xml:space="preserve"> Factor 4 refers quite a mixture of the original 5-factor structure. This indicates the potential role of instinct</w:t>
      </w:r>
      <w:r w:rsidR="00E23B09" w:rsidRPr="0090305A">
        <w:rPr>
          <w:color w:val="000000" w:themeColor="text1"/>
        </w:rPr>
        <w:t xml:space="preserve"> and </w:t>
      </w:r>
      <w:r w:rsidR="002F7F3E" w:rsidRPr="0090305A">
        <w:rPr>
          <w:color w:val="000000" w:themeColor="text1"/>
        </w:rPr>
        <w:t>spirituality</w:t>
      </w:r>
      <w:r w:rsidR="00FF7B44" w:rsidRPr="0090305A">
        <w:rPr>
          <w:color w:val="000000" w:themeColor="text1"/>
        </w:rPr>
        <w:t xml:space="preserve"> among the employees in dealing with challenges.</w:t>
      </w:r>
      <w:r w:rsidR="006C4DE3" w:rsidRPr="0090305A">
        <w:rPr>
          <w:color w:val="000000" w:themeColor="text1"/>
        </w:rPr>
        <w:t xml:space="preserve"> This factor</w:t>
      </w:r>
      <w:r w:rsidR="00E56AA9" w:rsidRPr="0090305A">
        <w:rPr>
          <w:color w:val="000000" w:themeColor="text1"/>
        </w:rPr>
        <w:t>, which</w:t>
      </w:r>
      <w:r w:rsidR="006C4DE3" w:rsidRPr="0090305A">
        <w:rPr>
          <w:color w:val="000000" w:themeColor="text1"/>
        </w:rPr>
        <w:t xml:space="preserve"> did </w:t>
      </w:r>
      <w:r w:rsidR="006C4DE3" w:rsidRPr="0090305A">
        <w:rPr>
          <w:color w:val="000000" w:themeColor="text1"/>
        </w:rPr>
        <w:lastRenderedPageBreak/>
        <w:t>not emerge in</w:t>
      </w:r>
      <w:r w:rsidR="00D45170" w:rsidRPr="0090305A">
        <w:rPr>
          <w:color w:val="000000" w:themeColor="text1"/>
        </w:rPr>
        <w:t xml:space="preserve"> </w:t>
      </w:r>
      <w:r w:rsidR="00960904">
        <w:rPr>
          <w:color w:val="000000" w:themeColor="text1"/>
        </w:rPr>
        <w:t>other</w:t>
      </w:r>
      <w:r w:rsidR="006C4DE3" w:rsidRPr="0090305A">
        <w:rPr>
          <w:color w:val="000000" w:themeColor="text1"/>
        </w:rPr>
        <w:t xml:space="preserve"> studies </w:t>
      </w:r>
      <w:r w:rsidR="00E56AA9" w:rsidRPr="0090305A">
        <w:rPr>
          <w:color w:val="000000" w:themeColor="text1"/>
        </w:rPr>
        <w:t>conducted in Spain</w:t>
      </w:r>
      <w:r w:rsidR="00F53075" w:rsidRPr="0090305A">
        <w:rPr>
          <w:color w:val="000000" w:themeColor="text1"/>
        </w:rPr>
        <w:t xml:space="preserve"> (Manzano-García &amp; Calvo</w:t>
      </w:r>
      <w:r w:rsidR="00E56AA9" w:rsidRPr="0090305A">
        <w:rPr>
          <w:color w:val="000000" w:themeColor="text1"/>
        </w:rPr>
        <w:t>,</w:t>
      </w:r>
      <w:r w:rsidR="00F53075" w:rsidRPr="0090305A">
        <w:rPr>
          <w:color w:val="000000" w:themeColor="text1"/>
        </w:rPr>
        <w:t xml:space="preserve"> 2013),</w:t>
      </w:r>
      <w:r w:rsidR="00E56AA9" w:rsidRPr="0090305A">
        <w:rPr>
          <w:color w:val="000000" w:themeColor="text1"/>
        </w:rPr>
        <w:t xml:space="preserve"> China</w:t>
      </w:r>
      <w:r w:rsidR="00AB1F94" w:rsidRPr="0090305A">
        <w:rPr>
          <w:color w:val="000000" w:themeColor="text1"/>
        </w:rPr>
        <w:t xml:space="preserve"> (Yu &amp; Zhang, 2007)</w:t>
      </w:r>
      <w:r w:rsidR="00E56AA9" w:rsidRPr="0090305A">
        <w:rPr>
          <w:color w:val="000000" w:themeColor="text1"/>
        </w:rPr>
        <w:t xml:space="preserve"> or A</w:t>
      </w:r>
      <w:r w:rsidR="009824AD" w:rsidRPr="0090305A">
        <w:rPr>
          <w:color w:val="000000" w:themeColor="text1"/>
        </w:rPr>
        <w:t>ustralia</w:t>
      </w:r>
      <w:r w:rsidR="00F53075" w:rsidRPr="0090305A">
        <w:rPr>
          <w:color w:val="000000" w:themeColor="text1"/>
        </w:rPr>
        <w:t xml:space="preserve"> (Burns &amp; Ansley, 2010)</w:t>
      </w:r>
      <w:r w:rsidR="009824AD" w:rsidRPr="0090305A">
        <w:rPr>
          <w:color w:val="000000" w:themeColor="text1"/>
        </w:rPr>
        <w:t xml:space="preserve">, can be related to the </w:t>
      </w:r>
      <w:r w:rsidR="008B529E" w:rsidRPr="0090305A">
        <w:rPr>
          <w:color w:val="000000" w:themeColor="text1"/>
        </w:rPr>
        <w:t xml:space="preserve">high level of religious commitment </w:t>
      </w:r>
      <w:r w:rsidR="00ED61EA" w:rsidRPr="0090305A">
        <w:rPr>
          <w:color w:val="000000" w:themeColor="text1"/>
        </w:rPr>
        <w:t>observed in Latin America. With the sole exception of Uruguay,</w:t>
      </w:r>
      <w:r w:rsidR="00D5506F" w:rsidRPr="0090305A">
        <w:rPr>
          <w:color w:val="000000" w:themeColor="text1"/>
        </w:rPr>
        <w:t xml:space="preserve"> where population </w:t>
      </w:r>
      <w:r w:rsidR="00D66BBB" w:rsidRPr="0090305A">
        <w:rPr>
          <w:color w:val="000000" w:themeColor="text1"/>
        </w:rPr>
        <w:t>show a lower level of</w:t>
      </w:r>
      <w:r w:rsidR="00D5506F" w:rsidRPr="0090305A">
        <w:rPr>
          <w:color w:val="000000" w:themeColor="text1"/>
        </w:rPr>
        <w:t xml:space="preserve"> spirituality,</w:t>
      </w:r>
      <w:r w:rsidR="00ED61EA" w:rsidRPr="0090305A">
        <w:rPr>
          <w:color w:val="000000" w:themeColor="text1"/>
        </w:rPr>
        <w:t xml:space="preserve"> the </w:t>
      </w:r>
      <w:r w:rsidR="003C462E" w:rsidRPr="0090305A">
        <w:rPr>
          <w:color w:val="000000" w:themeColor="text1"/>
        </w:rPr>
        <w:t>share of adults who consider religion to be very important in their lives rang from 90% in Honduras, to 41% in Chile</w:t>
      </w:r>
      <w:r w:rsidR="00D5506F" w:rsidRPr="0090305A">
        <w:rPr>
          <w:color w:val="000000" w:themeColor="text1"/>
        </w:rPr>
        <w:t xml:space="preserve"> (Pew Research Center, 2018)</w:t>
      </w:r>
      <w:r w:rsidR="003C462E" w:rsidRPr="0090305A">
        <w:rPr>
          <w:color w:val="000000" w:themeColor="text1"/>
        </w:rPr>
        <w:t>.</w:t>
      </w:r>
      <w:r w:rsidR="00ED61EA" w:rsidRPr="0090305A">
        <w:rPr>
          <w:color w:val="000000" w:themeColor="text1"/>
        </w:rPr>
        <w:t xml:space="preserve"> </w:t>
      </w:r>
      <w:r w:rsidR="00B32A7B" w:rsidRPr="0090305A">
        <w:rPr>
          <w:color w:val="000000" w:themeColor="text1"/>
        </w:rPr>
        <w:t>As suggested by Jogersen and Seedat (2008)</w:t>
      </w:r>
      <w:r w:rsidR="00585469" w:rsidRPr="0090305A">
        <w:rPr>
          <w:color w:val="000000" w:themeColor="text1"/>
        </w:rPr>
        <w:t xml:space="preserve">, </w:t>
      </w:r>
      <w:r w:rsidR="00D42BC7" w:rsidRPr="0090305A">
        <w:rPr>
          <w:color w:val="000000" w:themeColor="text1"/>
        </w:rPr>
        <w:t>Manzano-García and Calvo (2013)</w:t>
      </w:r>
      <w:r w:rsidR="00B32A7B" w:rsidRPr="0090305A">
        <w:rPr>
          <w:color w:val="000000" w:themeColor="text1"/>
        </w:rPr>
        <w:t xml:space="preserve"> or Baek, Lee, Joo, and Choi (2010), the different factorial structure </w:t>
      </w:r>
      <w:r w:rsidR="009954C2" w:rsidRPr="0090305A">
        <w:rPr>
          <w:color w:val="000000" w:themeColor="text1"/>
        </w:rPr>
        <w:t>could</w:t>
      </w:r>
      <w:r w:rsidR="00B32A7B" w:rsidRPr="0090305A">
        <w:rPr>
          <w:color w:val="000000" w:themeColor="text1"/>
        </w:rPr>
        <w:t xml:space="preserve"> be reflecting cultural differences in the meaning of </w:t>
      </w:r>
      <w:r w:rsidR="00D42BC7" w:rsidRPr="0090305A">
        <w:rPr>
          <w:color w:val="000000" w:themeColor="text1"/>
        </w:rPr>
        <w:t>resilience</w:t>
      </w:r>
      <w:r w:rsidR="009954C2" w:rsidRPr="0090305A">
        <w:rPr>
          <w:color w:val="000000" w:themeColor="text1"/>
        </w:rPr>
        <w:t xml:space="preserve"> as a construct</w:t>
      </w:r>
      <w:r w:rsidR="00B32A7B" w:rsidRPr="0090305A">
        <w:rPr>
          <w:color w:val="000000" w:themeColor="text1"/>
        </w:rPr>
        <w:t>. The sampl</w:t>
      </w:r>
      <w:r w:rsidR="001269A8" w:rsidRPr="0090305A">
        <w:rPr>
          <w:color w:val="000000" w:themeColor="text1"/>
        </w:rPr>
        <w:t>ing techniques could also</w:t>
      </w:r>
      <w:r w:rsidR="00A62B98" w:rsidRPr="0090305A">
        <w:rPr>
          <w:color w:val="000000" w:themeColor="text1"/>
        </w:rPr>
        <w:t xml:space="preserve"> explain the difficulties on reproducing</w:t>
      </w:r>
      <w:r w:rsidR="00B32A7B" w:rsidRPr="0090305A">
        <w:rPr>
          <w:color w:val="000000" w:themeColor="text1"/>
        </w:rPr>
        <w:t xml:space="preserve"> the structure of five factors proposed by Connor and Davidson (2003). </w:t>
      </w:r>
    </w:p>
    <w:p w14:paraId="15DD146B" w14:textId="747C32B8" w:rsidR="001B2A1B" w:rsidRDefault="00EF7959" w:rsidP="00DF5450">
      <w:pPr>
        <w:pStyle w:val="TextoAPA"/>
        <w:outlineLvl w:val="0"/>
        <w:rPr>
          <w:lang w:val="en-GB"/>
        </w:rPr>
      </w:pPr>
      <w:r>
        <w:rPr>
          <w:color w:val="000000" w:themeColor="text1"/>
        </w:rPr>
        <w:t>P</w:t>
      </w:r>
      <w:r w:rsidR="001D4661" w:rsidRPr="0090305A">
        <w:rPr>
          <w:color w:val="000000" w:themeColor="text1"/>
        </w:rPr>
        <w:t xml:space="preserve">ublic relations practitioners should have in-built </w:t>
      </w:r>
      <w:r w:rsidR="000563E9" w:rsidRPr="0090305A">
        <w:rPr>
          <w:color w:val="000000" w:themeColor="text1"/>
        </w:rPr>
        <w:t xml:space="preserve">innate or developed </w:t>
      </w:r>
      <w:r w:rsidR="001D4661" w:rsidRPr="0090305A">
        <w:rPr>
          <w:color w:val="000000" w:themeColor="text1"/>
        </w:rPr>
        <w:t>mechanisms able to recognize and neutralize adversities and their related effects</w:t>
      </w:r>
      <w:r>
        <w:rPr>
          <w:color w:val="000000" w:themeColor="text1"/>
        </w:rPr>
        <w:t xml:space="preserve"> (Davydov</w:t>
      </w:r>
      <w:r w:rsidR="00CA2BC3">
        <w:rPr>
          <w:color w:val="000000" w:themeColor="text1"/>
        </w:rPr>
        <w:t xml:space="preserve"> et al.</w:t>
      </w:r>
      <w:r>
        <w:rPr>
          <w:color w:val="000000" w:themeColor="text1"/>
        </w:rPr>
        <w:t>, 2010)</w:t>
      </w:r>
      <w:r w:rsidR="001D4661" w:rsidRPr="0090305A">
        <w:rPr>
          <w:color w:val="000000" w:themeColor="text1"/>
        </w:rPr>
        <w:t xml:space="preserve">. </w:t>
      </w:r>
      <w:r w:rsidR="001415FC" w:rsidRPr="0090305A">
        <w:rPr>
          <w:color w:val="000000" w:themeColor="text1"/>
        </w:rPr>
        <w:t>In terms of sociodemographic</w:t>
      </w:r>
      <w:r w:rsidR="00C1624A">
        <w:rPr>
          <w:color w:val="000000" w:themeColor="text1"/>
        </w:rPr>
        <w:t xml:space="preserve"> and work-related</w:t>
      </w:r>
      <w:r w:rsidR="00A121F0">
        <w:rPr>
          <w:color w:val="000000" w:themeColor="text1"/>
        </w:rPr>
        <w:t xml:space="preserve"> </w:t>
      </w:r>
      <w:r w:rsidR="001415FC" w:rsidRPr="0090305A">
        <w:rPr>
          <w:color w:val="000000" w:themeColor="text1"/>
        </w:rPr>
        <w:t>variables, age</w:t>
      </w:r>
      <w:r w:rsidR="00A121F0">
        <w:rPr>
          <w:color w:val="000000" w:themeColor="text1"/>
        </w:rPr>
        <w:t xml:space="preserve"> </w:t>
      </w:r>
      <w:r w:rsidR="001415FC" w:rsidRPr="0090305A">
        <w:rPr>
          <w:color w:val="000000" w:themeColor="text1"/>
        </w:rPr>
        <w:t>years of experience</w:t>
      </w:r>
      <w:r w:rsidR="00C1624A">
        <w:rPr>
          <w:color w:val="000000" w:themeColor="text1"/>
        </w:rPr>
        <w:t>, and hierarchy</w:t>
      </w:r>
      <w:r w:rsidR="00FE6B23" w:rsidRPr="0090305A">
        <w:rPr>
          <w:color w:val="000000" w:themeColor="text1"/>
        </w:rPr>
        <w:t xml:space="preserve"> </w:t>
      </w:r>
      <w:r w:rsidR="001415FC" w:rsidRPr="0090305A">
        <w:rPr>
          <w:color w:val="000000" w:themeColor="text1"/>
        </w:rPr>
        <w:t>ha</w:t>
      </w:r>
      <w:r w:rsidR="00411006">
        <w:rPr>
          <w:color w:val="000000" w:themeColor="text1"/>
        </w:rPr>
        <w:t>ve</w:t>
      </w:r>
      <w:r w:rsidR="001415FC" w:rsidRPr="0090305A">
        <w:rPr>
          <w:color w:val="000000" w:themeColor="text1"/>
        </w:rPr>
        <w:t xml:space="preserve"> a significant correlation with the CD-RISC total score.</w:t>
      </w:r>
      <w:r w:rsidR="00A121F0">
        <w:rPr>
          <w:color w:val="000000" w:themeColor="text1"/>
        </w:rPr>
        <w:t xml:space="preserve"> </w:t>
      </w:r>
      <w:r w:rsidR="003000F8" w:rsidRPr="007244E6">
        <w:rPr>
          <w:lang w:val="en-GB"/>
        </w:rPr>
        <w:t xml:space="preserve">These findings </w:t>
      </w:r>
      <w:r w:rsidR="00686E11">
        <w:rPr>
          <w:lang w:val="en-GB"/>
        </w:rPr>
        <w:t>are consisten</w:t>
      </w:r>
      <w:r w:rsidR="003000F8" w:rsidRPr="007244E6">
        <w:rPr>
          <w:lang w:val="en-GB"/>
        </w:rPr>
        <w:t>t</w:t>
      </w:r>
      <w:r w:rsidR="00686E11">
        <w:rPr>
          <w:lang w:val="en-GB"/>
        </w:rPr>
        <w:t xml:space="preserve"> with</w:t>
      </w:r>
      <w:r w:rsidR="000633D2">
        <w:rPr>
          <w:lang w:val="en-GB"/>
        </w:rPr>
        <w:t xml:space="preserve"> previous research</w:t>
      </w:r>
      <w:r w:rsidR="003000F8">
        <w:rPr>
          <w:lang w:val="en-GB"/>
        </w:rPr>
        <w:t xml:space="preserve"> </w:t>
      </w:r>
      <w:r w:rsidR="00677A10">
        <w:rPr>
          <w:lang w:val="en-GB"/>
        </w:rPr>
        <w:t>on</w:t>
      </w:r>
      <w:r w:rsidR="000633D2">
        <w:rPr>
          <w:lang w:val="en-GB"/>
        </w:rPr>
        <w:t xml:space="preserve"> the positive relationship between employees age, </w:t>
      </w:r>
      <w:r w:rsidR="002F0D27">
        <w:rPr>
          <w:lang w:val="en-GB"/>
        </w:rPr>
        <w:t xml:space="preserve">years of </w:t>
      </w:r>
      <w:r w:rsidR="000633D2">
        <w:rPr>
          <w:lang w:val="en-GB"/>
        </w:rPr>
        <w:t>experience</w:t>
      </w:r>
      <w:r w:rsidR="003756B1">
        <w:rPr>
          <w:lang w:val="en-GB"/>
        </w:rPr>
        <w:t>, leadership position,</w:t>
      </w:r>
      <w:r w:rsidR="000633D2">
        <w:rPr>
          <w:lang w:val="en-GB"/>
        </w:rPr>
        <w:t xml:space="preserve"> and resilience</w:t>
      </w:r>
      <w:r w:rsidR="004B2801">
        <w:rPr>
          <w:lang w:val="en-GB"/>
        </w:rPr>
        <w:t xml:space="preserve"> (e.g. Carson &amp; Bedeian, 1994; </w:t>
      </w:r>
      <w:r w:rsidR="004B2801" w:rsidRPr="000633D2">
        <w:rPr>
          <w:lang w:val="en-GB"/>
        </w:rPr>
        <w:t>London, 1993</w:t>
      </w:r>
      <w:r w:rsidR="003756B1">
        <w:rPr>
          <w:lang w:val="en-GB"/>
        </w:rPr>
        <w:t xml:space="preserve">; </w:t>
      </w:r>
      <w:r w:rsidR="003756B1" w:rsidRPr="003756B1">
        <w:rPr>
          <w:color w:val="000000" w:themeColor="text1"/>
        </w:rPr>
        <w:t>Marchant</w:t>
      </w:r>
      <w:r w:rsidR="003756B1">
        <w:rPr>
          <w:color w:val="000000" w:themeColor="text1"/>
        </w:rPr>
        <w:t xml:space="preserve"> et al., 2009</w:t>
      </w:r>
      <w:r w:rsidR="004B2801">
        <w:rPr>
          <w:lang w:val="en-GB"/>
        </w:rPr>
        <w:t>)</w:t>
      </w:r>
      <w:r w:rsidR="000633D2">
        <w:rPr>
          <w:lang w:val="en-GB"/>
        </w:rPr>
        <w:t>.</w:t>
      </w:r>
      <w:r w:rsidR="00DF5450">
        <w:rPr>
          <w:lang w:val="en-GB"/>
        </w:rPr>
        <w:t xml:space="preserve"> </w:t>
      </w:r>
      <w:r w:rsidR="00AA2513">
        <w:rPr>
          <w:lang w:val="en-GB"/>
        </w:rPr>
        <w:t xml:space="preserve">Older workers are expected to possess higher </w:t>
      </w:r>
      <w:r w:rsidR="00AA2513" w:rsidRPr="00AA2513">
        <w:rPr>
          <w:lang w:val="en-GB"/>
        </w:rPr>
        <w:t>job-related skills and self-management resources,</w:t>
      </w:r>
      <w:r w:rsidR="00C866F2">
        <w:rPr>
          <w:lang w:val="en-GB"/>
        </w:rPr>
        <w:t xml:space="preserve"> developed over time,</w:t>
      </w:r>
      <w:r w:rsidR="00AA2513" w:rsidRPr="00AA2513">
        <w:rPr>
          <w:lang w:val="en-GB"/>
        </w:rPr>
        <w:t xml:space="preserve"> enabling them to apply more active coping strategies when faced with demanding job situations</w:t>
      </w:r>
      <w:r w:rsidR="003E53AF">
        <w:rPr>
          <w:lang w:val="en-GB"/>
        </w:rPr>
        <w:t xml:space="preserve"> (</w:t>
      </w:r>
      <w:r w:rsidR="003E53AF" w:rsidRPr="003E53AF">
        <w:rPr>
          <w:lang w:val="en-GB"/>
        </w:rPr>
        <w:t>Hertel,</w:t>
      </w:r>
      <w:r w:rsidR="003E53AF">
        <w:rPr>
          <w:lang w:val="en-GB"/>
        </w:rPr>
        <w:t xml:space="preserve"> </w:t>
      </w:r>
      <w:r w:rsidR="003E53AF" w:rsidRPr="003E53AF">
        <w:rPr>
          <w:lang w:val="en-GB"/>
        </w:rPr>
        <w:t>Rauschenbach, Thielgen, &amp; Krumm, 2015)</w:t>
      </w:r>
      <w:r w:rsidR="00AA2513" w:rsidRPr="00AA2513">
        <w:rPr>
          <w:lang w:val="en-GB"/>
        </w:rPr>
        <w:t>.</w:t>
      </w:r>
      <w:r w:rsidR="00EA589D">
        <w:rPr>
          <w:lang w:val="en-GB"/>
        </w:rPr>
        <w:t xml:space="preserve"> </w:t>
      </w:r>
      <w:r w:rsidR="00EA589D" w:rsidRPr="00EA589D">
        <w:rPr>
          <w:lang w:val="en-GB"/>
        </w:rPr>
        <w:t xml:space="preserve">However, </w:t>
      </w:r>
      <w:r w:rsidR="00EA589D">
        <w:rPr>
          <w:lang w:val="en-GB"/>
        </w:rPr>
        <w:t>further research is needed to determine</w:t>
      </w:r>
      <w:r w:rsidR="00EA589D" w:rsidRPr="00EA589D">
        <w:rPr>
          <w:lang w:val="en-GB"/>
        </w:rPr>
        <w:t xml:space="preserve"> whether these age differences reflect real strengths of older workers or whether these differences simply occur because older workers have less stressful jobs than their younger colleagues.</w:t>
      </w:r>
      <w:r w:rsidR="008939B3" w:rsidRPr="008939B3">
        <w:rPr>
          <w:color w:val="000000" w:themeColor="text1"/>
        </w:rPr>
        <w:t xml:space="preserve"> </w:t>
      </w:r>
      <w:r w:rsidR="008939B3" w:rsidRPr="000118E9">
        <w:rPr>
          <w:color w:val="000000" w:themeColor="text1"/>
        </w:rPr>
        <w:t>Hypotheses H2b, H2c, H2d are supported.</w:t>
      </w:r>
    </w:p>
    <w:p w14:paraId="254CCF7D" w14:textId="67038EBD" w:rsidR="00EC0F79" w:rsidRDefault="005F4A04" w:rsidP="005F4A04">
      <w:pPr>
        <w:pStyle w:val="TextoAPA"/>
        <w:outlineLvl w:val="0"/>
        <w:rPr>
          <w:lang w:val="en-GB"/>
        </w:rPr>
      </w:pPr>
      <w:r>
        <w:rPr>
          <w:lang w:val="en-GB"/>
        </w:rPr>
        <w:lastRenderedPageBreak/>
        <w:t>The results did not show</w:t>
      </w:r>
      <w:r w:rsidR="003573DD" w:rsidRPr="003573DD">
        <w:rPr>
          <w:lang w:val="en-GB"/>
        </w:rPr>
        <w:t xml:space="preserve"> established empirical association between education and resilience; nevertheless, previous research indicated that education level enhanced </w:t>
      </w:r>
      <w:r w:rsidR="003573DD">
        <w:rPr>
          <w:lang w:val="en-GB"/>
        </w:rPr>
        <w:t>employees</w:t>
      </w:r>
      <w:r w:rsidR="003573DD" w:rsidRPr="003573DD">
        <w:rPr>
          <w:lang w:val="en-GB"/>
        </w:rPr>
        <w:t xml:space="preserve">’ ability to effectively manage stress in </w:t>
      </w:r>
      <w:r w:rsidR="003573DD">
        <w:rPr>
          <w:lang w:val="en-GB"/>
        </w:rPr>
        <w:t>the workplace</w:t>
      </w:r>
      <w:r w:rsidR="003573DD" w:rsidRPr="003573DD">
        <w:rPr>
          <w:lang w:val="en-GB"/>
        </w:rPr>
        <w:t xml:space="preserve"> </w:t>
      </w:r>
      <w:r w:rsidR="003573DD">
        <w:rPr>
          <w:lang w:val="en-GB"/>
        </w:rPr>
        <w:t>(</w:t>
      </w:r>
      <w:r w:rsidR="003573DD" w:rsidRPr="003573DD">
        <w:rPr>
          <w:lang w:val="en-GB"/>
        </w:rPr>
        <w:t xml:space="preserve">Adali </w:t>
      </w:r>
      <w:r w:rsidR="00A73129">
        <w:rPr>
          <w:lang w:val="en-GB"/>
        </w:rPr>
        <w:t>&amp;</w:t>
      </w:r>
      <w:r w:rsidR="003573DD" w:rsidRPr="003573DD">
        <w:rPr>
          <w:lang w:val="en-GB"/>
        </w:rPr>
        <w:t xml:space="preserve"> Priami, 2002;</w:t>
      </w:r>
      <w:r w:rsidR="003573DD">
        <w:rPr>
          <w:lang w:val="en-GB"/>
        </w:rPr>
        <w:t xml:space="preserve"> Cabrera-García, Casas, Pardo, &amp; Rodríguez, 2017</w:t>
      </w:r>
      <w:r w:rsidR="003573DD" w:rsidRPr="003573DD">
        <w:rPr>
          <w:lang w:val="en-GB"/>
        </w:rPr>
        <w:t xml:space="preserve">). In these studies, it appeared that education augmented </w:t>
      </w:r>
      <w:r w:rsidR="003573DD">
        <w:rPr>
          <w:lang w:val="en-GB"/>
        </w:rPr>
        <w:t>practitioners</w:t>
      </w:r>
      <w:r w:rsidR="003573DD" w:rsidRPr="003573DD">
        <w:rPr>
          <w:lang w:val="en-GB"/>
        </w:rPr>
        <w:t>’ ability to use problem-solving strategies.</w:t>
      </w:r>
      <w:r w:rsidR="003573DD">
        <w:rPr>
          <w:lang w:val="en-GB"/>
        </w:rPr>
        <w:t xml:space="preserve"> In </w:t>
      </w:r>
      <w:r w:rsidR="008939B3">
        <w:rPr>
          <w:lang w:val="en-GB"/>
        </w:rPr>
        <w:t>the current</w:t>
      </w:r>
      <w:r w:rsidR="00A73129">
        <w:rPr>
          <w:lang w:val="en-GB"/>
        </w:rPr>
        <w:t xml:space="preserve"> investigation</w:t>
      </w:r>
      <w:r w:rsidR="003573DD">
        <w:rPr>
          <w:lang w:val="en-GB"/>
        </w:rPr>
        <w:t>, t</w:t>
      </w:r>
      <w:r w:rsidR="00B93AFA">
        <w:rPr>
          <w:lang w:val="en-GB"/>
        </w:rPr>
        <w:t>he positive correlations between resilience and education was only weak and not significant</w:t>
      </w:r>
      <w:r w:rsidR="003573DD">
        <w:rPr>
          <w:lang w:val="en-GB"/>
        </w:rPr>
        <w:t>.</w:t>
      </w:r>
      <w:r w:rsidR="008939B3">
        <w:rPr>
          <w:lang w:val="en-GB"/>
        </w:rPr>
        <w:t xml:space="preserve"> Hypothesis H2a is not supported.</w:t>
      </w:r>
      <w:r>
        <w:rPr>
          <w:lang w:val="en-GB"/>
        </w:rPr>
        <w:t xml:space="preserve"> On the other hand, o</w:t>
      </w:r>
      <w:r w:rsidR="00FA6624" w:rsidRPr="000118E9">
        <w:rPr>
          <w:color w:val="000000" w:themeColor="text1"/>
        </w:rPr>
        <w:t>ur</w:t>
      </w:r>
      <w:r w:rsidR="00754187" w:rsidRPr="000118E9">
        <w:rPr>
          <w:color w:val="000000" w:themeColor="text1"/>
        </w:rPr>
        <w:t xml:space="preserve"> findings corroborate previous studies about the negative effect of gender in the level of resilience (De la Fuente, Cardelle-Elawar, Martínez-Vicente, Zapata, &amp; Peralta, 2013; Gonzalez-Torres &amp; Artuch, 2014; McLafferty, Mallet, &amp; McCauley, 2012). </w:t>
      </w:r>
    </w:p>
    <w:p w14:paraId="2654BB9F" w14:textId="6784A040" w:rsidR="00210678" w:rsidRPr="0090305A" w:rsidRDefault="00210678" w:rsidP="00CD7C27">
      <w:pPr>
        <w:pStyle w:val="TextoAPA"/>
        <w:outlineLvl w:val="0"/>
        <w:rPr>
          <w:lang w:val="en-GB"/>
        </w:rPr>
      </w:pPr>
      <w:r>
        <w:rPr>
          <w:lang w:val="en-GB"/>
        </w:rPr>
        <w:t>The literature has found that</w:t>
      </w:r>
      <w:r w:rsidR="00F82126">
        <w:rPr>
          <w:lang w:val="en-GB"/>
        </w:rPr>
        <w:t xml:space="preserve"> technical</w:t>
      </w:r>
      <w:r w:rsidR="00F82126" w:rsidRPr="00F82126">
        <w:rPr>
          <w:lang w:val="en-GB"/>
        </w:rPr>
        <w:t xml:space="preserve"> </w:t>
      </w:r>
      <w:r w:rsidR="00A57FC7" w:rsidRPr="00F82126">
        <w:rPr>
          <w:lang w:val="en-GB"/>
        </w:rPr>
        <w:t>skills</w:t>
      </w:r>
      <w:r w:rsidR="00A57FC7">
        <w:rPr>
          <w:lang w:val="en-GB"/>
        </w:rPr>
        <w:t xml:space="preserve"> </w:t>
      </w:r>
      <w:r w:rsidR="00F82126" w:rsidRPr="00F82126">
        <w:rPr>
          <w:lang w:val="en-GB"/>
        </w:rPr>
        <w:t xml:space="preserve">also play a role in </w:t>
      </w:r>
      <w:r w:rsidR="00F82126">
        <w:rPr>
          <w:lang w:val="en-GB"/>
        </w:rPr>
        <w:t xml:space="preserve">career </w:t>
      </w:r>
      <w:r w:rsidR="00F82126" w:rsidRPr="00F82126">
        <w:rPr>
          <w:lang w:val="en-GB"/>
        </w:rPr>
        <w:t xml:space="preserve">resilience </w:t>
      </w:r>
      <w:r>
        <w:rPr>
          <w:lang w:val="en-GB"/>
        </w:rPr>
        <w:t>(</w:t>
      </w:r>
      <w:r w:rsidR="001B2A1B" w:rsidRPr="00F82126">
        <w:rPr>
          <w:lang w:val="en-GB"/>
        </w:rPr>
        <w:t>Brunetti, 2006; Gu &amp; Day, 2007</w:t>
      </w:r>
      <w:r w:rsidR="001B2A1B">
        <w:rPr>
          <w:lang w:val="en-GB"/>
        </w:rPr>
        <w:t xml:space="preserve">; </w:t>
      </w:r>
      <w:r w:rsidR="00F82126" w:rsidRPr="00F82126">
        <w:rPr>
          <w:lang w:val="en-GB"/>
        </w:rPr>
        <w:t>Mansfield, Beltman, Price, &amp; McConney, 2012</w:t>
      </w:r>
      <w:r w:rsidR="00F82126">
        <w:rPr>
          <w:lang w:val="en-GB"/>
        </w:rPr>
        <w:t>)</w:t>
      </w:r>
      <w:r w:rsidR="008662A8">
        <w:rPr>
          <w:lang w:val="en-GB"/>
        </w:rPr>
        <w:t xml:space="preserve">. </w:t>
      </w:r>
      <w:r w:rsidR="00031FFA">
        <w:rPr>
          <w:lang w:val="en-GB"/>
        </w:rPr>
        <w:t>The r</w:t>
      </w:r>
      <w:r w:rsidR="004B2801">
        <w:rPr>
          <w:lang w:val="en-GB"/>
        </w:rPr>
        <w:t xml:space="preserve">esults </w:t>
      </w:r>
      <w:r w:rsidR="00C52038">
        <w:rPr>
          <w:lang w:val="en-GB"/>
        </w:rPr>
        <w:t xml:space="preserve">of the current study </w:t>
      </w:r>
      <w:r w:rsidR="004B2801">
        <w:rPr>
          <w:lang w:val="en-GB"/>
        </w:rPr>
        <w:t xml:space="preserve">confirm that </w:t>
      </w:r>
      <w:r w:rsidR="009C330E">
        <w:rPr>
          <w:lang w:val="en-GB"/>
        </w:rPr>
        <w:t xml:space="preserve">PR practitioners </w:t>
      </w:r>
      <w:r w:rsidR="001277A4">
        <w:rPr>
          <w:lang w:val="en-GB"/>
        </w:rPr>
        <w:t>reporting</w:t>
      </w:r>
      <w:r w:rsidR="009C330E">
        <w:rPr>
          <w:lang w:val="en-GB"/>
        </w:rPr>
        <w:t xml:space="preserve"> stronger social media skills </w:t>
      </w:r>
      <w:r w:rsidR="001277A4">
        <w:rPr>
          <w:lang w:val="en-GB"/>
        </w:rPr>
        <w:t xml:space="preserve">have </w:t>
      </w:r>
      <w:r w:rsidR="00031FFA">
        <w:rPr>
          <w:lang w:val="en-GB"/>
        </w:rPr>
        <w:t>higher level</w:t>
      </w:r>
      <w:r w:rsidR="001277A4">
        <w:rPr>
          <w:lang w:val="en-GB"/>
        </w:rPr>
        <w:t>s</w:t>
      </w:r>
      <w:r w:rsidR="00031FFA">
        <w:rPr>
          <w:lang w:val="en-GB"/>
        </w:rPr>
        <w:t xml:space="preserve"> of resilience, proving that a resilience outcome will be more likely </w:t>
      </w:r>
      <w:r w:rsidR="00031FFA" w:rsidRPr="00031FFA">
        <w:rPr>
          <w:lang w:val="en-GB"/>
        </w:rPr>
        <w:t>when people have the resource base for dealing with the demands they face</w:t>
      </w:r>
      <w:r w:rsidR="00031FFA">
        <w:rPr>
          <w:lang w:val="en-GB"/>
        </w:rPr>
        <w:t>.</w:t>
      </w:r>
      <w:r w:rsidR="00847D27">
        <w:rPr>
          <w:lang w:val="en-GB"/>
        </w:rPr>
        <w:t xml:space="preserve"> This finding is also compatible with earlier studies, which indicate an association between </w:t>
      </w:r>
      <w:r w:rsidR="00F86B64">
        <w:rPr>
          <w:lang w:val="en-GB"/>
        </w:rPr>
        <w:t>social</w:t>
      </w:r>
      <w:r w:rsidR="001277A4">
        <w:rPr>
          <w:lang w:val="en-GB"/>
        </w:rPr>
        <w:t xml:space="preserve"> media</w:t>
      </w:r>
      <w:r w:rsidR="00F86B64">
        <w:rPr>
          <w:lang w:val="en-GB"/>
        </w:rPr>
        <w:t xml:space="preserve"> use</w:t>
      </w:r>
      <w:r w:rsidR="00423761">
        <w:rPr>
          <w:lang w:val="en-GB"/>
        </w:rPr>
        <w:t>, self-efficacy,</w:t>
      </w:r>
      <w:r w:rsidR="00F86B64">
        <w:rPr>
          <w:lang w:val="en-GB"/>
        </w:rPr>
        <w:t xml:space="preserve"> and both personal and group resilience (</w:t>
      </w:r>
      <w:r w:rsidR="00423761" w:rsidRPr="00423761">
        <w:rPr>
          <w:lang w:val="en-GB"/>
        </w:rPr>
        <w:t>Sigalit, Sivia, &amp; Michal,</w:t>
      </w:r>
      <w:r w:rsidR="00423761">
        <w:rPr>
          <w:lang w:val="en-GB"/>
        </w:rPr>
        <w:t xml:space="preserve"> </w:t>
      </w:r>
      <w:r w:rsidR="00423761" w:rsidRPr="00423761">
        <w:rPr>
          <w:lang w:val="en-GB"/>
        </w:rPr>
        <w:t>2017</w:t>
      </w:r>
      <w:r w:rsidR="00423761">
        <w:rPr>
          <w:lang w:val="en-GB"/>
        </w:rPr>
        <w:t xml:space="preserve">; </w:t>
      </w:r>
      <w:r w:rsidR="00F86B64">
        <w:rPr>
          <w:lang w:val="en-GB"/>
        </w:rPr>
        <w:t>Tower, Latimer, &amp; Hewitt, 2014)</w:t>
      </w:r>
      <w:r w:rsidR="00423761">
        <w:rPr>
          <w:lang w:val="en-GB"/>
        </w:rPr>
        <w:t>.</w:t>
      </w:r>
      <w:r w:rsidR="001277A4">
        <w:rPr>
          <w:lang w:val="en-GB"/>
        </w:rPr>
        <w:t xml:space="preserve"> </w:t>
      </w:r>
      <w:r w:rsidR="001277A4">
        <w:rPr>
          <w:color w:val="000000" w:themeColor="text1"/>
        </w:rPr>
        <w:t>Furthermore</w:t>
      </w:r>
      <w:r w:rsidR="001277A4" w:rsidRPr="00397DAF">
        <w:rPr>
          <w:color w:val="000000" w:themeColor="text1"/>
        </w:rPr>
        <w:t>, in the face of an adverse work environment, individuals who believe that they are resilient are likely to perceive that they have sufficient resources for dealing with the adversity</w:t>
      </w:r>
      <w:r w:rsidR="001277A4">
        <w:rPr>
          <w:color w:val="000000" w:themeColor="text1"/>
        </w:rPr>
        <w:t xml:space="preserve"> (</w:t>
      </w:r>
      <w:r w:rsidR="001277A4" w:rsidRPr="00397DAF">
        <w:rPr>
          <w:color w:val="000000" w:themeColor="text1"/>
        </w:rPr>
        <w:t>Kimura, Bande, &amp; Fernández-Ferrín, 2018</w:t>
      </w:r>
      <w:r w:rsidR="001277A4">
        <w:rPr>
          <w:color w:val="000000" w:themeColor="text1"/>
        </w:rPr>
        <w:t>)</w:t>
      </w:r>
      <w:r w:rsidR="001277A4" w:rsidRPr="00397DAF">
        <w:rPr>
          <w:color w:val="000000" w:themeColor="text1"/>
        </w:rPr>
        <w:t>.</w:t>
      </w:r>
      <w:r w:rsidR="008939B3">
        <w:rPr>
          <w:color w:val="000000" w:themeColor="text1"/>
        </w:rPr>
        <w:t xml:space="preserve"> Hypothesis H2e is supported.</w:t>
      </w:r>
    </w:p>
    <w:p w14:paraId="6B5C326F" w14:textId="0FF52AEE" w:rsidR="00B93AFA" w:rsidRDefault="00B93AFA" w:rsidP="00CD7C27">
      <w:pPr>
        <w:pStyle w:val="TextoAPA"/>
        <w:outlineLvl w:val="0"/>
        <w:rPr>
          <w:color w:val="000000" w:themeColor="text1"/>
        </w:rPr>
      </w:pPr>
    </w:p>
    <w:p w14:paraId="24AF3CF7" w14:textId="0AB33584" w:rsidR="00F82241" w:rsidRDefault="00850544" w:rsidP="00733770">
      <w:pPr>
        <w:pStyle w:val="TextoAPA"/>
        <w:outlineLvl w:val="0"/>
        <w:rPr>
          <w:color w:val="000000" w:themeColor="text1"/>
        </w:rPr>
      </w:pPr>
      <w:r w:rsidRPr="00850544">
        <w:rPr>
          <w:color w:val="000000" w:themeColor="text1"/>
        </w:rPr>
        <w:lastRenderedPageBreak/>
        <w:t xml:space="preserve">Although organizational contexts </w:t>
      </w:r>
      <w:r>
        <w:rPr>
          <w:color w:val="000000" w:themeColor="text1"/>
        </w:rPr>
        <w:t>have a profound impact in</w:t>
      </w:r>
      <w:r w:rsidRPr="00850544">
        <w:rPr>
          <w:color w:val="000000" w:themeColor="text1"/>
        </w:rPr>
        <w:t xml:space="preserve"> the evolution of employee resilience, little research has</w:t>
      </w:r>
      <w:r w:rsidR="00C3494F">
        <w:rPr>
          <w:color w:val="000000" w:themeColor="text1"/>
        </w:rPr>
        <w:t xml:space="preserve"> been</w:t>
      </w:r>
      <w:r w:rsidRPr="00850544">
        <w:rPr>
          <w:color w:val="000000" w:themeColor="text1"/>
        </w:rPr>
        <w:t xml:space="preserve"> </w:t>
      </w:r>
      <w:r>
        <w:rPr>
          <w:color w:val="000000" w:themeColor="text1"/>
        </w:rPr>
        <w:t>done</w:t>
      </w:r>
      <w:r w:rsidRPr="00850544">
        <w:rPr>
          <w:color w:val="000000" w:themeColor="text1"/>
        </w:rPr>
        <w:t xml:space="preserve"> to investigate employee resilience in different organizational contexts</w:t>
      </w:r>
      <w:r>
        <w:rPr>
          <w:color w:val="000000" w:themeColor="text1"/>
        </w:rPr>
        <w:t>.</w:t>
      </w:r>
      <w:r w:rsidRPr="00850544">
        <w:rPr>
          <w:color w:val="000000" w:themeColor="text1"/>
        </w:rPr>
        <w:t xml:space="preserve"> </w:t>
      </w:r>
      <w:r w:rsidR="00333D22">
        <w:rPr>
          <w:color w:val="000000" w:themeColor="text1"/>
        </w:rPr>
        <w:t>T</w:t>
      </w:r>
      <w:r w:rsidR="008E701C">
        <w:rPr>
          <w:color w:val="000000" w:themeColor="text1"/>
        </w:rPr>
        <w:t>he</w:t>
      </w:r>
      <w:r w:rsidR="00C3494F">
        <w:rPr>
          <w:color w:val="000000" w:themeColor="text1"/>
        </w:rPr>
        <w:t xml:space="preserve"> ECM </w:t>
      </w:r>
      <w:r w:rsidR="00333D22">
        <w:rPr>
          <w:color w:val="000000" w:themeColor="text1"/>
        </w:rPr>
        <w:t>introduced in 2014</w:t>
      </w:r>
      <w:r w:rsidR="00C3494F">
        <w:rPr>
          <w:color w:val="000000" w:themeColor="text1"/>
        </w:rPr>
        <w:t xml:space="preserve"> the</w:t>
      </w:r>
      <w:r w:rsidR="008E701C">
        <w:rPr>
          <w:color w:val="000000" w:themeColor="text1"/>
        </w:rPr>
        <w:t xml:space="preserve"> </w:t>
      </w:r>
      <w:r w:rsidR="008E701C" w:rsidRPr="008E701C">
        <w:rPr>
          <w:color w:val="000000" w:themeColor="text1"/>
        </w:rPr>
        <w:t>Comparative Excellence Framework for Communication</w:t>
      </w:r>
      <w:r w:rsidR="008E701C">
        <w:rPr>
          <w:color w:val="000000" w:themeColor="text1"/>
        </w:rPr>
        <w:t xml:space="preserve"> </w:t>
      </w:r>
      <w:r w:rsidR="008E701C" w:rsidRPr="008E701C">
        <w:rPr>
          <w:color w:val="000000" w:themeColor="text1"/>
        </w:rPr>
        <w:t>Management</w:t>
      </w:r>
      <w:r w:rsidR="00C3494F">
        <w:rPr>
          <w:color w:val="000000" w:themeColor="text1"/>
        </w:rPr>
        <w:t>,</w:t>
      </w:r>
      <w:r w:rsidR="008E701C" w:rsidRPr="008E701C">
        <w:rPr>
          <w:color w:val="000000" w:themeColor="text1"/>
        </w:rPr>
        <w:t xml:space="preserve"> based on self-assessment and inspired by business</w:t>
      </w:r>
      <w:r w:rsidR="008E701C">
        <w:rPr>
          <w:color w:val="000000" w:themeColor="text1"/>
        </w:rPr>
        <w:t xml:space="preserve"> </w:t>
      </w:r>
      <w:r w:rsidR="008E701C" w:rsidRPr="008E701C">
        <w:rPr>
          <w:color w:val="000000" w:themeColor="text1"/>
        </w:rPr>
        <w:t>excellence models (Verčič &amp; Zerfass, 2016)</w:t>
      </w:r>
      <w:r w:rsidR="00C3494F">
        <w:rPr>
          <w:color w:val="000000" w:themeColor="text1"/>
        </w:rPr>
        <w:t>,</w:t>
      </w:r>
      <w:r w:rsidR="008E701C">
        <w:rPr>
          <w:color w:val="000000" w:themeColor="text1"/>
        </w:rPr>
        <w:t xml:space="preserve"> to identify </w:t>
      </w:r>
      <w:r w:rsidR="008E701C" w:rsidRPr="008E701C">
        <w:rPr>
          <w:color w:val="000000" w:themeColor="text1"/>
        </w:rPr>
        <w:t>the characteristics of excellent communication departments.</w:t>
      </w:r>
      <w:r w:rsidR="001E55AC">
        <w:rPr>
          <w:color w:val="000000" w:themeColor="text1"/>
        </w:rPr>
        <w:t xml:space="preserve"> According the 2018 survey (Zerfass et al., 2018), c</w:t>
      </w:r>
      <w:r w:rsidR="00733770" w:rsidRPr="00733770">
        <w:rPr>
          <w:color w:val="000000" w:themeColor="text1"/>
        </w:rPr>
        <w:t>ommunication</w:t>
      </w:r>
      <w:r w:rsidR="00733770">
        <w:rPr>
          <w:color w:val="000000" w:themeColor="text1"/>
        </w:rPr>
        <w:t xml:space="preserve"> </w:t>
      </w:r>
      <w:r w:rsidR="00733770" w:rsidRPr="00733770">
        <w:rPr>
          <w:color w:val="000000" w:themeColor="text1"/>
        </w:rPr>
        <w:t>practitioners working in excellent departments show higher levels of</w:t>
      </w:r>
      <w:r w:rsidR="00733770">
        <w:rPr>
          <w:color w:val="000000" w:themeColor="text1"/>
        </w:rPr>
        <w:t xml:space="preserve"> </w:t>
      </w:r>
      <w:r w:rsidR="00733770" w:rsidRPr="00733770">
        <w:rPr>
          <w:color w:val="000000" w:themeColor="text1"/>
        </w:rPr>
        <w:t xml:space="preserve">work </w:t>
      </w:r>
      <w:r w:rsidR="00754187" w:rsidRPr="00733770">
        <w:rPr>
          <w:color w:val="000000" w:themeColor="text1"/>
        </w:rPr>
        <w:t>engagement</w:t>
      </w:r>
      <w:r w:rsidR="00754187">
        <w:rPr>
          <w:color w:val="000000" w:themeColor="text1"/>
        </w:rPr>
        <w:t xml:space="preserve"> and</w:t>
      </w:r>
      <w:r w:rsidR="00733770" w:rsidRPr="00733770">
        <w:rPr>
          <w:color w:val="000000" w:themeColor="text1"/>
        </w:rPr>
        <w:t xml:space="preserve"> trust their organization to a far higher extent.</w:t>
      </w:r>
      <w:r w:rsidR="00333D22">
        <w:rPr>
          <w:color w:val="000000" w:themeColor="text1"/>
        </w:rPr>
        <w:t xml:space="preserve"> Surprisingly,</w:t>
      </w:r>
      <w:r w:rsidR="008E701C" w:rsidRPr="008E701C">
        <w:rPr>
          <w:color w:val="000000" w:themeColor="text1"/>
        </w:rPr>
        <w:t xml:space="preserve"> </w:t>
      </w:r>
      <w:r w:rsidR="00333D22">
        <w:rPr>
          <w:color w:val="000000" w:themeColor="text1"/>
        </w:rPr>
        <w:t>i</w:t>
      </w:r>
      <w:r w:rsidR="00F82241" w:rsidRPr="0090305A">
        <w:rPr>
          <w:color w:val="000000" w:themeColor="text1"/>
        </w:rPr>
        <w:t xml:space="preserve">n </w:t>
      </w:r>
      <w:r>
        <w:rPr>
          <w:color w:val="000000" w:themeColor="text1"/>
        </w:rPr>
        <w:t>the current study</w:t>
      </w:r>
      <w:r w:rsidR="00F82241" w:rsidRPr="0090305A">
        <w:rPr>
          <w:color w:val="000000" w:themeColor="text1"/>
        </w:rPr>
        <w:t xml:space="preserve"> resilience did not correlate with</w:t>
      </w:r>
      <w:r w:rsidR="008042CB">
        <w:rPr>
          <w:color w:val="000000" w:themeColor="text1"/>
        </w:rPr>
        <w:t xml:space="preserve"> </w:t>
      </w:r>
      <w:r w:rsidR="00F82241" w:rsidRPr="0090305A">
        <w:rPr>
          <w:color w:val="000000" w:themeColor="text1"/>
        </w:rPr>
        <w:t xml:space="preserve">working in excellent departments or having perceived influence or success. Such </w:t>
      </w:r>
      <w:r w:rsidR="001E55AC">
        <w:rPr>
          <w:color w:val="000000" w:themeColor="text1"/>
        </w:rPr>
        <w:t>finding</w:t>
      </w:r>
      <w:r w:rsidR="00F82241" w:rsidRPr="0090305A">
        <w:rPr>
          <w:color w:val="000000" w:themeColor="text1"/>
        </w:rPr>
        <w:t xml:space="preserve"> does not confirm the reciprocity between individuals and their environments </w:t>
      </w:r>
      <w:r w:rsidR="00754187">
        <w:rPr>
          <w:color w:val="000000" w:themeColor="text1"/>
        </w:rPr>
        <w:t>highlighted</w:t>
      </w:r>
      <w:r w:rsidR="00754187" w:rsidRPr="0090305A">
        <w:rPr>
          <w:color w:val="000000" w:themeColor="text1"/>
        </w:rPr>
        <w:t xml:space="preserve"> </w:t>
      </w:r>
      <w:r w:rsidR="00F82241" w:rsidRPr="0090305A">
        <w:rPr>
          <w:color w:val="000000" w:themeColor="text1"/>
        </w:rPr>
        <w:t>in pr</w:t>
      </w:r>
      <w:r>
        <w:rPr>
          <w:color w:val="000000" w:themeColor="text1"/>
        </w:rPr>
        <w:t>ior</w:t>
      </w:r>
      <w:r w:rsidR="00F82241" w:rsidRPr="0090305A">
        <w:rPr>
          <w:color w:val="000000" w:themeColor="text1"/>
        </w:rPr>
        <w:t xml:space="preserve"> research (Gillespie et al., 2009; Jeong et al., 2015).</w:t>
      </w:r>
      <w:r w:rsidR="00754187">
        <w:rPr>
          <w:color w:val="000000" w:themeColor="text1"/>
        </w:rPr>
        <w:t xml:space="preserve"> </w:t>
      </w:r>
      <w:r w:rsidR="00754187" w:rsidRPr="000118E9">
        <w:rPr>
          <w:color w:val="000000" w:themeColor="text1"/>
        </w:rPr>
        <w:t xml:space="preserve">Consequently, </w:t>
      </w:r>
      <w:r w:rsidR="00754187">
        <w:rPr>
          <w:color w:val="000000" w:themeColor="text1"/>
        </w:rPr>
        <w:t>the results suggest</w:t>
      </w:r>
      <w:r w:rsidR="00754187" w:rsidRPr="000118E9">
        <w:rPr>
          <w:color w:val="000000" w:themeColor="text1"/>
        </w:rPr>
        <w:t xml:space="preserve"> that resilience may be constrained on an individual’s characteristics., Mallet, &amp; McCauley, 2012). </w:t>
      </w:r>
      <w:r w:rsidR="00F82241" w:rsidRPr="0090305A">
        <w:rPr>
          <w:color w:val="000000" w:themeColor="text1"/>
        </w:rPr>
        <w:t xml:space="preserve"> </w:t>
      </w:r>
      <w:r w:rsidR="000F3D5B">
        <w:rPr>
          <w:color w:val="000000" w:themeColor="text1"/>
        </w:rPr>
        <w:t>Thus, h</w:t>
      </w:r>
      <w:r w:rsidR="00BF34F5" w:rsidRPr="0090305A">
        <w:rPr>
          <w:color w:val="000000" w:themeColor="text1"/>
        </w:rPr>
        <w:t>ypothes</w:t>
      </w:r>
      <w:r w:rsidR="008939B3">
        <w:rPr>
          <w:color w:val="000000" w:themeColor="text1"/>
        </w:rPr>
        <w:t>i</w:t>
      </w:r>
      <w:r w:rsidR="00BF34F5" w:rsidRPr="0090305A">
        <w:rPr>
          <w:color w:val="000000" w:themeColor="text1"/>
        </w:rPr>
        <w:t xml:space="preserve">s H2f </w:t>
      </w:r>
      <w:r w:rsidR="008939B3">
        <w:rPr>
          <w:color w:val="000000" w:themeColor="text1"/>
        </w:rPr>
        <w:t>is</w:t>
      </w:r>
      <w:r w:rsidR="008939B3" w:rsidRPr="008939B3">
        <w:rPr>
          <w:color w:val="000000" w:themeColor="text1"/>
        </w:rPr>
        <w:t xml:space="preserve"> rejected</w:t>
      </w:r>
      <w:r w:rsidR="00BF34F5" w:rsidRPr="0090305A">
        <w:rPr>
          <w:color w:val="000000" w:themeColor="text1"/>
        </w:rPr>
        <w:t>.</w:t>
      </w:r>
    </w:p>
    <w:p w14:paraId="2DCBE847" w14:textId="7AF9B4CB" w:rsidR="00171967" w:rsidRPr="0090305A" w:rsidRDefault="00171967" w:rsidP="00733770">
      <w:pPr>
        <w:pStyle w:val="TextoAPA"/>
        <w:outlineLvl w:val="0"/>
        <w:rPr>
          <w:color w:val="000000" w:themeColor="text1"/>
        </w:rPr>
      </w:pPr>
      <w:r>
        <w:rPr>
          <w:color w:val="000000" w:themeColor="text1"/>
        </w:rPr>
        <w:t>Finally, public relations practitioners working in the public sector present lower levels of resilience, confirming</w:t>
      </w:r>
      <w:r w:rsidR="00B270FF">
        <w:rPr>
          <w:color w:val="000000" w:themeColor="text1"/>
        </w:rPr>
        <w:t xml:space="preserve"> the</w:t>
      </w:r>
      <w:r>
        <w:rPr>
          <w:color w:val="000000" w:themeColor="text1"/>
        </w:rPr>
        <w:t xml:space="preserve"> hypothesis H2g. This </w:t>
      </w:r>
      <w:r w:rsidR="00B41E35">
        <w:rPr>
          <w:color w:val="000000" w:themeColor="text1"/>
        </w:rPr>
        <w:t xml:space="preserve">finding can be </w:t>
      </w:r>
      <w:r w:rsidR="00422575">
        <w:rPr>
          <w:color w:val="000000" w:themeColor="text1"/>
        </w:rPr>
        <w:t xml:space="preserve">related with the traditional lack of </w:t>
      </w:r>
      <w:r w:rsidR="006D6249">
        <w:rPr>
          <w:color w:val="000000" w:themeColor="text1"/>
        </w:rPr>
        <w:t xml:space="preserve">goal </w:t>
      </w:r>
      <w:r w:rsidR="007E1E8F">
        <w:rPr>
          <w:color w:val="000000" w:themeColor="text1"/>
        </w:rPr>
        <w:t>specificity</w:t>
      </w:r>
      <w:r w:rsidR="00325A86">
        <w:rPr>
          <w:color w:val="000000" w:themeColor="text1"/>
        </w:rPr>
        <w:t>, agility, career development</w:t>
      </w:r>
      <w:r w:rsidR="00B41E35">
        <w:rPr>
          <w:color w:val="000000" w:themeColor="text1"/>
        </w:rPr>
        <w:t xml:space="preserve"> </w:t>
      </w:r>
      <w:r w:rsidR="00422575">
        <w:rPr>
          <w:color w:val="000000" w:themeColor="text1"/>
        </w:rPr>
        <w:t>and flexibility</w:t>
      </w:r>
      <w:r w:rsidR="00325A86">
        <w:rPr>
          <w:color w:val="000000" w:themeColor="text1"/>
        </w:rPr>
        <w:t xml:space="preserve">, alongside with </w:t>
      </w:r>
      <w:r w:rsidR="006D6249">
        <w:rPr>
          <w:color w:val="000000" w:themeColor="text1"/>
        </w:rPr>
        <w:t>hierarchical authority</w:t>
      </w:r>
      <w:r w:rsidR="00325A86">
        <w:rPr>
          <w:color w:val="000000" w:themeColor="text1"/>
        </w:rPr>
        <w:t xml:space="preserve">, </w:t>
      </w:r>
      <w:r w:rsidR="006D6249">
        <w:rPr>
          <w:color w:val="000000" w:themeColor="text1"/>
        </w:rPr>
        <w:t>negative influencing</w:t>
      </w:r>
      <w:r w:rsidR="00325A86">
        <w:rPr>
          <w:color w:val="000000" w:themeColor="text1"/>
        </w:rPr>
        <w:t xml:space="preserve"> governmental organizations</w:t>
      </w:r>
      <w:r w:rsidR="006D6249">
        <w:rPr>
          <w:color w:val="000000" w:themeColor="text1"/>
        </w:rPr>
        <w:t xml:space="preserve"> (Kjeldsen &amp; Hansen, 2018)</w:t>
      </w:r>
      <w:r w:rsidR="00325A86">
        <w:rPr>
          <w:color w:val="000000" w:themeColor="text1"/>
        </w:rPr>
        <w:t>.</w:t>
      </w:r>
      <w:r w:rsidR="00E174D4">
        <w:rPr>
          <w:color w:val="000000" w:themeColor="text1"/>
        </w:rPr>
        <w:t xml:space="preserve"> Burnout and exhaustion increase specially with tenure in the public sector (Bright, 2008). </w:t>
      </w:r>
    </w:p>
    <w:p w14:paraId="432F2293" w14:textId="4ECBC042" w:rsidR="00537982" w:rsidRPr="0090305A" w:rsidRDefault="00CC47E8">
      <w:pPr>
        <w:pStyle w:val="TextoAPA"/>
        <w:outlineLvl w:val="0"/>
        <w:rPr>
          <w:color w:val="000000" w:themeColor="text1"/>
        </w:rPr>
      </w:pPr>
      <w:r w:rsidRPr="0090305A">
        <w:rPr>
          <w:color w:val="000000" w:themeColor="text1"/>
        </w:rPr>
        <w:t>This</w:t>
      </w:r>
      <w:r w:rsidR="00D42BC7" w:rsidRPr="0090305A">
        <w:rPr>
          <w:color w:val="000000" w:themeColor="text1"/>
        </w:rPr>
        <w:t xml:space="preserve"> is the first empirical study that operationalizes the dimensions of resilience in a sample of public relations practitioners. Resilience </w:t>
      </w:r>
      <w:r w:rsidRPr="0090305A">
        <w:rPr>
          <w:color w:val="000000" w:themeColor="text1"/>
        </w:rPr>
        <w:t>offers</w:t>
      </w:r>
      <w:r w:rsidR="00D42BC7" w:rsidRPr="0090305A">
        <w:rPr>
          <w:color w:val="000000" w:themeColor="text1"/>
        </w:rPr>
        <w:t xml:space="preserve"> information about how professionals face stress</w:t>
      </w:r>
      <w:r w:rsidRPr="0090305A">
        <w:rPr>
          <w:color w:val="000000" w:themeColor="text1"/>
        </w:rPr>
        <w:t>ful situations</w:t>
      </w:r>
      <w:r w:rsidR="00233F76" w:rsidRPr="0090305A">
        <w:rPr>
          <w:color w:val="000000" w:themeColor="text1"/>
        </w:rPr>
        <w:t xml:space="preserve"> and uncertainty</w:t>
      </w:r>
      <w:r w:rsidR="00D42BC7" w:rsidRPr="0090305A">
        <w:rPr>
          <w:color w:val="000000" w:themeColor="text1"/>
        </w:rPr>
        <w:t xml:space="preserve">, and how this can </w:t>
      </w:r>
      <w:r w:rsidRPr="0090305A">
        <w:rPr>
          <w:color w:val="000000" w:themeColor="text1"/>
        </w:rPr>
        <w:t>impact</w:t>
      </w:r>
      <w:r w:rsidR="00D42BC7" w:rsidRPr="0090305A">
        <w:rPr>
          <w:color w:val="000000" w:themeColor="text1"/>
        </w:rPr>
        <w:t xml:space="preserve"> both on their mental health as on the </w:t>
      </w:r>
      <w:r w:rsidRPr="0090305A">
        <w:rPr>
          <w:color w:val="000000" w:themeColor="text1"/>
        </w:rPr>
        <w:t>organizational success</w:t>
      </w:r>
      <w:r w:rsidR="00D42BC7" w:rsidRPr="0090305A">
        <w:rPr>
          <w:color w:val="000000" w:themeColor="text1"/>
        </w:rPr>
        <w:t xml:space="preserve">. For that reason, it can be useful to have a valid and reliable </w:t>
      </w:r>
      <w:r w:rsidR="00D42BC7" w:rsidRPr="0090305A">
        <w:rPr>
          <w:color w:val="000000" w:themeColor="text1"/>
        </w:rPr>
        <w:lastRenderedPageBreak/>
        <w:t>measure of resilience. In this respect, our findings provide supporting evidence that the CD-RISC has good psychometric properties and can be used as a reliable and valid tool to assess resilience among Latin American public relations practitioners.</w:t>
      </w:r>
    </w:p>
    <w:p w14:paraId="024E2ECF" w14:textId="28EC9B39" w:rsidR="00701FB0" w:rsidRPr="0090305A" w:rsidRDefault="000929A2">
      <w:pPr>
        <w:pStyle w:val="Normal1"/>
        <w:spacing w:after="0" w:line="480" w:lineRule="auto"/>
        <w:contextualSpacing/>
        <w:jc w:val="center"/>
        <w:outlineLvl w:val="0"/>
        <w:rPr>
          <w:rFonts w:ascii="Times New Roman" w:hAnsi="Times New Roman" w:cs="Times New Roman"/>
          <w:b/>
          <w:color w:val="000000" w:themeColor="text1"/>
          <w:sz w:val="24"/>
          <w:szCs w:val="24"/>
        </w:rPr>
      </w:pPr>
      <w:r w:rsidRPr="0090305A">
        <w:rPr>
          <w:rFonts w:ascii="Times New Roman" w:eastAsia="Times New Roman" w:hAnsi="Times New Roman" w:cs="Times New Roman"/>
          <w:b/>
          <w:color w:val="000000" w:themeColor="text1"/>
          <w:sz w:val="24"/>
          <w:szCs w:val="24"/>
        </w:rPr>
        <w:t>Practical</w:t>
      </w:r>
      <w:r w:rsidR="00D37581" w:rsidRPr="0090305A">
        <w:rPr>
          <w:rFonts w:ascii="Times New Roman" w:eastAsia="Times New Roman" w:hAnsi="Times New Roman" w:cs="Times New Roman"/>
          <w:b/>
          <w:color w:val="000000" w:themeColor="text1"/>
          <w:sz w:val="24"/>
          <w:szCs w:val="24"/>
        </w:rPr>
        <w:t xml:space="preserve"> Implications</w:t>
      </w:r>
    </w:p>
    <w:p w14:paraId="4E972CB5" w14:textId="0D48F416" w:rsidR="00537982" w:rsidRPr="0090305A" w:rsidRDefault="00475FCB" w:rsidP="00C048D3">
      <w:pPr>
        <w:pStyle w:val="TextoAPA"/>
        <w:rPr>
          <w:color w:val="000000" w:themeColor="text1"/>
        </w:rPr>
      </w:pPr>
      <w:r w:rsidRPr="0090305A">
        <w:rPr>
          <w:color w:val="000000" w:themeColor="text1"/>
        </w:rPr>
        <w:t xml:space="preserve"> </w:t>
      </w:r>
      <w:r w:rsidR="003D1AC8" w:rsidRPr="0090305A">
        <w:rPr>
          <w:color w:val="000000" w:themeColor="text1"/>
        </w:rPr>
        <w:t>Research results shed a light on the relevance of resilience for communication ma</w:t>
      </w:r>
      <w:r w:rsidR="00EF2DBD" w:rsidRPr="0090305A">
        <w:rPr>
          <w:color w:val="000000" w:themeColor="text1"/>
        </w:rPr>
        <w:t>nagement practitioners in today’</w:t>
      </w:r>
      <w:r w:rsidR="003D1AC8" w:rsidRPr="0090305A">
        <w:rPr>
          <w:color w:val="000000" w:themeColor="text1"/>
        </w:rPr>
        <w:t>s context of extremely changing societies</w:t>
      </w:r>
      <w:r w:rsidR="00C048D3">
        <w:rPr>
          <w:color w:val="000000" w:themeColor="text1"/>
        </w:rPr>
        <w:t xml:space="preserve"> and heavier workloads</w:t>
      </w:r>
      <w:r w:rsidR="003D1AC8" w:rsidRPr="0090305A">
        <w:rPr>
          <w:color w:val="000000" w:themeColor="text1"/>
        </w:rPr>
        <w:t>.</w:t>
      </w:r>
      <w:r w:rsidR="00F37A77">
        <w:rPr>
          <w:color w:val="000000" w:themeColor="text1"/>
        </w:rPr>
        <w:t xml:space="preserve"> </w:t>
      </w:r>
      <w:r w:rsidR="00F37A77" w:rsidRPr="00F37A77">
        <w:rPr>
          <w:color w:val="000000" w:themeColor="text1"/>
        </w:rPr>
        <w:t xml:space="preserve">The </w:t>
      </w:r>
      <w:r w:rsidR="00F37A77">
        <w:rPr>
          <w:color w:val="000000" w:themeColor="text1"/>
        </w:rPr>
        <w:t xml:space="preserve">resilience </w:t>
      </w:r>
      <w:r w:rsidR="00F37A77" w:rsidRPr="00F37A77">
        <w:rPr>
          <w:color w:val="000000" w:themeColor="text1"/>
        </w:rPr>
        <w:t>of the workforce has not been</w:t>
      </w:r>
      <w:r w:rsidR="00F37A77">
        <w:rPr>
          <w:color w:val="000000" w:themeColor="text1"/>
        </w:rPr>
        <w:t xml:space="preserve"> so far</w:t>
      </w:r>
      <w:r w:rsidR="00F37A77" w:rsidRPr="00F37A77">
        <w:rPr>
          <w:color w:val="000000" w:themeColor="text1"/>
        </w:rPr>
        <w:t xml:space="preserve"> a major consideration in</w:t>
      </w:r>
      <w:r w:rsidR="00F37A77">
        <w:rPr>
          <w:color w:val="000000" w:themeColor="text1"/>
        </w:rPr>
        <w:t xml:space="preserve"> human resources</w:t>
      </w:r>
      <w:r w:rsidR="00F37A77" w:rsidRPr="00F37A77">
        <w:rPr>
          <w:color w:val="000000" w:themeColor="text1"/>
        </w:rPr>
        <w:t xml:space="preserve"> planning yet it may significantly impact the trajectory and longevity of a </w:t>
      </w:r>
      <w:r w:rsidR="00F37A77">
        <w:rPr>
          <w:color w:val="000000" w:themeColor="text1"/>
        </w:rPr>
        <w:t>PR</w:t>
      </w:r>
      <w:r w:rsidR="00F37A77" w:rsidRPr="00F37A77">
        <w:rPr>
          <w:color w:val="000000" w:themeColor="text1"/>
        </w:rPr>
        <w:t xml:space="preserve"> professional’s career.</w:t>
      </w:r>
      <w:r w:rsidR="003D1AC8" w:rsidRPr="0090305A">
        <w:rPr>
          <w:color w:val="000000" w:themeColor="text1"/>
        </w:rPr>
        <w:t xml:space="preserve"> </w:t>
      </w:r>
      <w:r w:rsidRPr="0090305A">
        <w:rPr>
          <w:color w:val="000000" w:themeColor="text1"/>
        </w:rPr>
        <w:t>Identifying factors that protect against negative outcomes is important for the development of strengths-based approaches that emphasize resilience.</w:t>
      </w:r>
      <w:r w:rsidR="005010D1">
        <w:rPr>
          <w:color w:val="000000" w:themeColor="text1"/>
        </w:rPr>
        <w:t xml:space="preserve"> </w:t>
      </w:r>
      <w:r w:rsidR="005010D1" w:rsidRPr="005010D1">
        <w:rPr>
          <w:color w:val="000000" w:themeColor="text1"/>
        </w:rPr>
        <w:t xml:space="preserve">It is important to assist </w:t>
      </w:r>
      <w:r w:rsidR="005010D1">
        <w:rPr>
          <w:color w:val="000000" w:themeColor="text1"/>
        </w:rPr>
        <w:t xml:space="preserve">PR practitioners </w:t>
      </w:r>
      <w:r w:rsidR="005010D1" w:rsidRPr="005010D1">
        <w:rPr>
          <w:color w:val="000000" w:themeColor="text1"/>
        </w:rPr>
        <w:t>to develop skills that will</w:t>
      </w:r>
      <w:r w:rsidR="005010D1">
        <w:rPr>
          <w:color w:val="000000" w:themeColor="text1"/>
        </w:rPr>
        <w:t xml:space="preserve"> </w:t>
      </w:r>
      <w:r w:rsidR="005010D1" w:rsidRPr="005010D1">
        <w:rPr>
          <w:color w:val="000000" w:themeColor="text1"/>
        </w:rPr>
        <w:t>aid them in being more resilient and better able to cope with</w:t>
      </w:r>
      <w:r w:rsidR="005010D1">
        <w:rPr>
          <w:color w:val="000000" w:themeColor="text1"/>
        </w:rPr>
        <w:t xml:space="preserve"> </w:t>
      </w:r>
      <w:r w:rsidR="005010D1" w:rsidRPr="005010D1">
        <w:rPr>
          <w:color w:val="000000" w:themeColor="text1"/>
        </w:rPr>
        <w:t xml:space="preserve">and protect themselves from the effects of </w:t>
      </w:r>
      <w:r w:rsidR="005010D1">
        <w:rPr>
          <w:color w:val="000000" w:themeColor="text1"/>
        </w:rPr>
        <w:t xml:space="preserve">workplace </w:t>
      </w:r>
      <w:r w:rsidR="005010D1" w:rsidRPr="005010D1">
        <w:rPr>
          <w:color w:val="000000" w:themeColor="text1"/>
        </w:rPr>
        <w:t>adversity</w:t>
      </w:r>
      <w:r w:rsidR="00E568C8">
        <w:rPr>
          <w:color w:val="000000" w:themeColor="text1"/>
        </w:rPr>
        <w:t>.</w:t>
      </w:r>
      <w:r w:rsidRPr="0090305A">
        <w:rPr>
          <w:color w:val="000000" w:themeColor="text1"/>
        </w:rPr>
        <w:t xml:space="preserve"> </w:t>
      </w:r>
      <w:r w:rsidR="00EE1A52" w:rsidRPr="0090305A">
        <w:rPr>
          <w:color w:val="000000" w:themeColor="text1"/>
        </w:rPr>
        <w:t>Moreover, i</w:t>
      </w:r>
      <w:r w:rsidR="00507BDC" w:rsidRPr="0090305A">
        <w:rPr>
          <w:color w:val="000000" w:themeColor="text1"/>
        </w:rPr>
        <w:t xml:space="preserve">n predicting the ability to tolerate stress and </w:t>
      </w:r>
      <w:r w:rsidR="003B33DD" w:rsidRPr="0090305A">
        <w:rPr>
          <w:color w:val="000000" w:themeColor="text1"/>
        </w:rPr>
        <w:t xml:space="preserve">its </w:t>
      </w:r>
      <w:r w:rsidR="00507BDC" w:rsidRPr="0090305A">
        <w:rPr>
          <w:color w:val="000000" w:themeColor="text1"/>
        </w:rPr>
        <w:t xml:space="preserve">negative </w:t>
      </w:r>
      <w:r w:rsidR="003B33DD" w:rsidRPr="0090305A">
        <w:rPr>
          <w:color w:val="000000" w:themeColor="text1"/>
        </w:rPr>
        <w:t>effects</w:t>
      </w:r>
      <w:r w:rsidR="00507BDC" w:rsidRPr="0090305A">
        <w:rPr>
          <w:color w:val="000000" w:themeColor="text1"/>
        </w:rPr>
        <w:t>, this study may help in the selection of personnel who will manage tougher job demands.</w:t>
      </w:r>
      <w:r w:rsidR="009E3A7A">
        <w:rPr>
          <w:color w:val="000000" w:themeColor="text1"/>
        </w:rPr>
        <w:t xml:space="preserve"> H</w:t>
      </w:r>
      <w:r w:rsidR="009E3A7A" w:rsidRPr="009E3A7A">
        <w:rPr>
          <w:color w:val="000000" w:themeColor="text1"/>
        </w:rPr>
        <w:t xml:space="preserve">iring employees with strong resilience could possibly reduce turnover rate and enhance work engagement. </w:t>
      </w:r>
      <w:r w:rsidR="00F1379F" w:rsidRPr="00F1379F">
        <w:rPr>
          <w:color w:val="000000" w:themeColor="text1"/>
        </w:rPr>
        <w:t>Additionally, our analyses suggest</w:t>
      </w:r>
      <w:r w:rsidR="00F1379F" w:rsidRPr="00F1379F" w:rsidDel="00F1379F">
        <w:rPr>
          <w:color w:val="000000" w:themeColor="text1"/>
        </w:rPr>
        <w:t xml:space="preserve"> </w:t>
      </w:r>
      <w:r w:rsidR="000929A2" w:rsidRPr="0090305A">
        <w:rPr>
          <w:color w:val="000000" w:themeColor="text1"/>
        </w:rPr>
        <w:t>the need of educating and training resilience as an importan</w:t>
      </w:r>
      <w:r w:rsidR="009727F5" w:rsidRPr="0090305A">
        <w:rPr>
          <w:color w:val="000000" w:themeColor="text1"/>
        </w:rPr>
        <w:t>t competence for communication professionals</w:t>
      </w:r>
      <w:r w:rsidR="000929A2" w:rsidRPr="0090305A">
        <w:rPr>
          <w:color w:val="000000" w:themeColor="text1"/>
        </w:rPr>
        <w:t>.</w:t>
      </w:r>
      <w:r w:rsidR="006A3709">
        <w:rPr>
          <w:color w:val="000000" w:themeColor="text1"/>
        </w:rPr>
        <w:t xml:space="preserve"> As previously stated, </w:t>
      </w:r>
      <w:r w:rsidR="006A3709" w:rsidRPr="006A3709">
        <w:rPr>
          <w:color w:val="000000" w:themeColor="text1"/>
        </w:rPr>
        <w:t>resilience can be developed and strengthened through strategies aimed at reducing vulnerability to stressors and managing the impact of adversity in the workplace</w:t>
      </w:r>
      <w:r w:rsidR="006A3709">
        <w:rPr>
          <w:color w:val="000000" w:themeColor="text1"/>
        </w:rPr>
        <w:t>.</w:t>
      </w:r>
      <w:r w:rsidR="005A5B74">
        <w:rPr>
          <w:color w:val="000000" w:themeColor="text1"/>
        </w:rPr>
        <w:t xml:space="preserve"> Promoting the value that resilience is</w:t>
      </w:r>
      <w:r w:rsidR="005A5B74" w:rsidRPr="005A5B74">
        <w:rPr>
          <w:color w:val="000000" w:themeColor="text1"/>
        </w:rPr>
        <w:t xml:space="preserve"> a necessity and a core component of professionalism, an attitudinal change among the body of </w:t>
      </w:r>
      <w:r w:rsidR="005A5B74">
        <w:rPr>
          <w:color w:val="000000" w:themeColor="text1"/>
        </w:rPr>
        <w:t>PR practitioners</w:t>
      </w:r>
      <w:r w:rsidR="005A5B74" w:rsidRPr="005A5B74">
        <w:rPr>
          <w:color w:val="000000" w:themeColor="text1"/>
        </w:rPr>
        <w:t xml:space="preserve"> may well influence future </w:t>
      </w:r>
      <w:r w:rsidR="005A5B74">
        <w:rPr>
          <w:color w:val="000000" w:themeColor="text1"/>
        </w:rPr>
        <w:t>organizational</w:t>
      </w:r>
      <w:r w:rsidR="005A5B74" w:rsidRPr="005A5B74">
        <w:rPr>
          <w:color w:val="000000" w:themeColor="text1"/>
        </w:rPr>
        <w:t xml:space="preserve"> structures and policies.</w:t>
      </w:r>
      <w:r w:rsidR="002912A6" w:rsidRPr="0090305A">
        <w:rPr>
          <w:color w:val="000000" w:themeColor="text1"/>
        </w:rPr>
        <w:t xml:space="preserve"> In addition, when establishing the development of specific competences for communication practitioners, it is crucial to consider </w:t>
      </w:r>
      <w:r w:rsidR="002912A6" w:rsidRPr="0090305A">
        <w:rPr>
          <w:color w:val="000000" w:themeColor="text1"/>
        </w:rPr>
        <w:lastRenderedPageBreak/>
        <w:t>the use and understanding of technological skills, specially addressed to social media management.</w:t>
      </w:r>
      <w:r w:rsidR="00C048D3">
        <w:rPr>
          <w:color w:val="000000" w:themeColor="text1"/>
        </w:rPr>
        <w:t xml:space="preserve"> To conclude, </w:t>
      </w:r>
      <w:r w:rsidR="00C048D3" w:rsidRPr="00C048D3">
        <w:rPr>
          <w:color w:val="000000" w:themeColor="text1"/>
        </w:rPr>
        <w:t>resilience training</w:t>
      </w:r>
      <w:r w:rsidR="00C048D3">
        <w:rPr>
          <w:color w:val="000000" w:themeColor="text1"/>
        </w:rPr>
        <w:t xml:space="preserve"> has been proven to have </w:t>
      </w:r>
      <w:r w:rsidR="00C048D3" w:rsidRPr="00C048D3">
        <w:rPr>
          <w:color w:val="000000" w:themeColor="text1"/>
        </w:rPr>
        <w:t>a number of wider benefits that include enhanced psychosocial functioning</w:t>
      </w:r>
      <w:r w:rsidR="00C048D3">
        <w:rPr>
          <w:color w:val="000000" w:themeColor="text1"/>
        </w:rPr>
        <w:t>, mental health,</w:t>
      </w:r>
      <w:r w:rsidR="00C048D3" w:rsidRPr="00C048D3">
        <w:rPr>
          <w:color w:val="000000" w:themeColor="text1"/>
        </w:rPr>
        <w:t xml:space="preserve"> and improved</w:t>
      </w:r>
      <w:r w:rsidR="00C048D3">
        <w:rPr>
          <w:color w:val="000000" w:themeColor="text1"/>
        </w:rPr>
        <w:t xml:space="preserve"> </w:t>
      </w:r>
      <w:r w:rsidR="00C048D3" w:rsidRPr="00C048D3">
        <w:rPr>
          <w:color w:val="000000" w:themeColor="text1"/>
        </w:rPr>
        <w:t>performance</w:t>
      </w:r>
    </w:p>
    <w:p w14:paraId="189AE926" w14:textId="77777777" w:rsidR="00701FB0" w:rsidRPr="0090305A" w:rsidRDefault="00D37581">
      <w:pPr>
        <w:pStyle w:val="Normal1"/>
        <w:spacing w:after="0" w:line="480" w:lineRule="auto"/>
        <w:contextualSpacing/>
        <w:jc w:val="center"/>
        <w:outlineLvl w:val="0"/>
        <w:rPr>
          <w:rFonts w:ascii="Times New Roman" w:hAnsi="Times New Roman" w:cs="Times New Roman"/>
          <w:b/>
          <w:color w:val="000000" w:themeColor="text1"/>
          <w:sz w:val="24"/>
          <w:szCs w:val="24"/>
        </w:rPr>
      </w:pPr>
      <w:r w:rsidRPr="0090305A">
        <w:rPr>
          <w:rFonts w:ascii="Times New Roman" w:eastAsia="Times New Roman" w:hAnsi="Times New Roman" w:cs="Times New Roman"/>
          <w:b/>
          <w:color w:val="000000" w:themeColor="text1"/>
          <w:sz w:val="24"/>
          <w:szCs w:val="24"/>
        </w:rPr>
        <w:t>Limitations and Future Research</w:t>
      </w:r>
    </w:p>
    <w:p w14:paraId="5E072D59" w14:textId="28C086E9" w:rsidR="0026070C" w:rsidRPr="0090305A" w:rsidRDefault="00507BDC">
      <w:pPr>
        <w:pStyle w:val="TextoAPA"/>
        <w:outlineLvl w:val="0"/>
        <w:rPr>
          <w:color w:val="000000" w:themeColor="text1"/>
        </w:rPr>
      </w:pPr>
      <w:r w:rsidRPr="0090305A">
        <w:rPr>
          <w:color w:val="000000" w:themeColor="text1"/>
        </w:rPr>
        <w:t>The study is pioneer in the evaluation of resilience competence in the communication field. However, it</w:t>
      </w:r>
      <w:r w:rsidR="000E1F5E" w:rsidRPr="0090305A">
        <w:rPr>
          <w:color w:val="000000" w:themeColor="text1"/>
        </w:rPr>
        <w:t xml:space="preserve"> has several limitations that require consideration when interpreting the findings.</w:t>
      </w:r>
      <w:r w:rsidR="00922788" w:rsidRPr="0090305A">
        <w:rPr>
          <w:color w:val="000000" w:themeColor="text1"/>
        </w:rPr>
        <w:t xml:space="preserve"> First, a</w:t>
      </w:r>
      <w:r w:rsidR="00D37581" w:rsidRPr="0090305A">
        <w:rPr>
          <w:color w:val="000000" w:themeColor="text1"/>
        </w:rPr>
        <w:t xml:space="preserve"> large sample of professionals was approached, but a much small number initiated and completed the online survey. This resulted in the lack of representation of some countries in the continent. In the future, greater participation is needed to allow for a more comprehensive comparative analysis.</w:t>
      </w:r>
      <w:r w:rsidR="0026070C" w:rsidRPr="0090305A">
        <w:rPr>
          <w:color w:val="000000" w:themeColor="text1"/>
        </w:rPr>
        <w:t xml:space="preserve"> </w:t>
      </w:r>
      <w:r w:rsidR="00922788" w:rsidRPr="0090305A">
        <w:rPr>
          <w:color w:val="000000" w:themeColor="text1"/>
        </w:rPr>
        <w:t xml:space="preserve">Second, this study just explored the influence of individual-level factors on resilience. Future studies can be conducted to investigate the effect of both individual- and organizational level factors on resilience for public relations practitioners. Third, this study </w:t>
      </w:r>
      <w:r w:rsidR="00E57E38" w:rsidRPr="0090305A">
        <w:rPr>
          <w:color w:val="000000" w:themeColor="text1"/>
        </w:rPr>
        <w:t>used a quantitative methodology</w:t>
      </w:r>
      <w:r w:rsidR="00922788" w:rsidRPr="0090305A">
        <w:rPr>
          <w:color w:val="000000" w:themeColor="text1"/>
        </w:rPr>
        <w:t xml:space="preserve">, which can provide limited information about resilience, and further qualitative research is necessary to explore the meaning of resilience and identify contributors and inhibitors of resilience. </w:t>
      </w:r>
      <w:r w:rsidR="00124940" w:rsidRPr="0090305A">
        <w:rPr>
          <w:color w:val="000000" w:themeColor="text1"/>
        </w:rPr>
        <w:t xml:space="preserve">Fourth, </w:t>
      </w:r>
      <w:r w:rsidR="005A6EA2" w:rsidRPr="0090305A">
        <w:rPr>
          <w:color w:val="000000" w:themeColor="text1"/>
        </w:rPr>
        <w:t xml:space="preserve">as in any study using self-report measures, the results may have been influenced by participants’ acquiescence and need for social desirability. </w:t>
      </w:r>
      <w:r w:rsidR="008D03A2" w:rsidRPr="0090305A">
        <w:rPr>
          <w:color w:val="000000" w:themeColor="text1"/>
        </w:rPr>
        <w:t xml:space="preserve">Fifth, </w:t>
      </w:r>
      <w:r w:rsidR="00FE6B23" w:rsidRPr="0090305A">
        <w:rPr>
          <w:color w:val="000000" w:themeColor="text1"/>
        </w:rPr>
        <w:t>the scale was developed</w:t>
      </w:r>
      <w:r w:rsidR="00C84C02" w:rsidRPr="0090305A">
        <w:rPr>
          <w:color w:val="000000" w:themeColor="text1"/>
        </w:rPr>
        <w:t xml:space="preserve"> originally</w:t>
      </w:r>
      <w:r w:rsidR="00FE6B23" w:rsidRPr="0090305A">
        <w:rPr>
          <w:color w:val="000000" w:themeColor="text1"/>
        </w:rPr>
        <w:t xml:space="preserve"> in clinical settings</w:t>
      </w:r>
      <w:r w:rsidR="00367548">
        <w:rPr>
          <w:color w:val="000000" w:themeColor="text1"/>
        </w:rPr>
        <w:t>. Consequently,</w:t>
      </w:r>
      <w:r w:rsidR="00FE6B23" w:rsidRPr="0090305A">
        <w:rPr>
          <w:color w:val="000000" w:themeColor="text1"/>
        </w:rPr>
        <w:t xml:space="preserve"> </w:t>
      </w:r>
      <w:r w:rsidR="00367548" w:rsidRPr="00367548">
        <w:rPr>
          <w:color w:val="000000" w:themeColor="text1"/>
        </w:rPr>
        <w:t>the generalization to work settings is not clear</w:t>
      </w:r>
      <w:r w:rsidR="00FE6B23" w:rsidRPr="0090305A">
        <w:rPr>
          <w:color w:val="000000" w:themeColor="text1"/>
        </w:rPr>
        <w:t xml:space="preserve">. </w:t>
      </w:r>
      <w:r w:rsidR="0026070C" w:rsidRPr="0090305A">
        <w:rPr>
          <w:color w:val="000000" w:themeColor="text1"/>
        </w:rPr>
        <w:t>The present study has provided more evidence of the need for cross-cultural comparison of an imported construct and its measurement by showing that the resilience construct, defined by the CD-RISC (Connor &amp; Davidson 2003), may be understood differently in other cultures.</w:t>
      </w:r>
    </w:p>
    <w:p w14:paraId="2B58ECF0" w14:textId="77777777" w:rsidR="00FD1923" w:rsidRPr="0090305A" w:rsidRDefault="00FD1923">
      <w:pPr>
        <w:pStyle w:val="TextoAPA"/>
        <w:jc w:val="center"/>
        <w:rPr>
          <w:b/>
          <w:color w:val="000000" w:themeColor="text1"/>
        </w:rPr>
      </w:pPr>
    </w:p>
    <w:p w14:paraId="0D867D72" w14:textId="77777777" w:rsidR="00FD1923" w:rsidRPr="0090305A" w:rsidRDefault="00FD1923">
      <w:pPr>
        <w:pStyle w:val="TextoAPA"/>
        <w:jc w:val="center"/>
        <w:rPr>
          <w:b/>
          <w:color w:val="000000" w:themeColor="text1"/>
        </w:rPr>
      </w:pPr>
    </w:p>
    <w:p w14:paraId="6C9830F7" w14:textId="77777777" w:rsidR="0014169F" w:rsidRPr="0090305A" w:rsidRDefault="0014169F" w:rsidP="0090305A">
      <w:pPr>
        <w:pStyle w:val="TextoAPA"/>
        <w:ind w:firstLine="0"/>
        <w:rPr>
          <w:b/>
          <w:color w:val="000000" w:themeColor="text1"/>
        </w:rPr>
      </w:pPr>
    </w:p>
    <w:p w14:paraId="2C6E26B9" w14:textId="0869D17E" w:rsidR="004E0210" w:rsidRPr="00F65DFC" w:rsidRDefault="004E0210">
      <w:pPr>
        <w:pStyle w:val="TextoAPA"/>
        <w:jc w:val="center"/>
        <w:rPr>
          <w:b/>
          <w:color w:val="000000" w:themeColor="text1"/>
        </w:rPr>
      </w:pPr>
      <w:r w:rsidRPr="00F65DFC">
        <w:rPr>
          <w:b/>
          <w:color w:val="000000" w:themeColor="text1"/>
        </w:rPr>
        <w:t>References</w:t>
      </w:r>
    </w:p>
    <w:p w14:paraId="18D05C7A" w14:textId="380833FD" w:rsidR="004E0210" w:rsidRPr="0090305A" w:rsidRDefault="004E0210" w:rsidP="0090305A">
      <w:pPr>
        <w:pStyle w:val="bibliografa"/>
        <w:spacing w:before="0" w:beforeAutospacing="0" w:after="0" w:afterAutospacing="0"/>
        <w:ind w:left="720" w:hanging="720"/>
        <w:rPr>
          <w:color w:val="000000" w:themeColor="text1"/>
        </w:rPr>
      </w:pPr>
      <w:r w:rsidRPr="00025892">
        <w:rPr>
          <w:color w:val="000000" w:themeColor="text1"/>
        </w:rPr>
        <w:t>Adali, E.</w:t>
      </w:r>
      <w:r w:rsidR="00B5772E" w:rsidRPr="00025892">
        <w:rPr>
          <w:color w:val="000000" w:themeColor="text1"/>
        </w:rPr>
        <w:t xml:space="preserve"> &amp;</w:t>
      </w:r>
      <w:r w:rsidRPr="00025892">
        <w:rPr>
          <w:color w:val="000000" w:themeColor="text1"/>
        </w:rPr>
        <w:t xml:space="preserve"> Priami, M.</w:t>
      </w:r>
      <w:r w:rsidR="00B5772E" w:rsidRPr="00025892">
        <w:rPr>
          <w:color w:val="000000" w:themeColor="text1"/>
        </w:rPr>
        <w:t xml:space="preserve"> (</w:t>
      </w:r>
      <w:r w:rsidRPr="00025892">
        <w:rPr>
          <w:color w:val="000000" w:themeColor="text1"/>
        </w:rPr>
        <w:t>2002</w:t>
      </w:r>
      <w:r w:rsidR="00B5772E" w:rsidRPr="00025892">
        <w:rPr>
          <w:color w:val="000000" w:themeColor="text1"/>
        </w:rPr>
        <w:t>).</w:t>
      </w:r>
      <w:r w:rsidRPr="00025892">
        <w:rPr>
          <w:color w:val="000000" w:themeColor="text1"/>
        </w:rPr>
        <w:t xml:space="preserve"> </w:t>
      </w:r>
      <w:r w:rsidRPr="0090305A">
        <w:rPr>
          <w:color w:val="000000" w:themeColor="text1"/>
        </w:rPr>
        <w:t xml:space="preserve">Burnout among nurses in intensive care units, internal medicine wards </w:t>
      </w:r>
      <w:r w:rsidR="003F5032">
        <w:rPr>
          <w:color w:val="000000" w:themeColor="text1"/>
        </w:rPr>
        <w:t>i</w:t>
      </w:r>
      <w:r w:rsidR="003F5032" w:rsidRPr="0090305A">
        <w:rPr>
          <w:color w:val="000000" w:themeColor="text1"/>
        </w:rPr>
        <w:t xml:space="preserve">n </w:t>
      </w:r>
      <w:r w:rsidRPr="0090305A">
        <w:rPr>
          <w:color w:val="000000" w:themeColor="text1"/>
        </w:rPr>
        <w:t xml:space="preserve">emergency departments in Greek hospitals. </w:t>
      </w:r>
      <w:r w:rsidRPr="0090305A">
        <w:rPr>
          <w:i/>
          <w:color w:val="000000" w:themeColor="text1"/>
        </w:rPr>
        <w:t>ICU’s and Nursing Webb Journa</w:t>
      </w:r>
      <w:r w:rsidRPr="0090305A">
        <w:rPr>
          <w:color w:val="000000" w:themeColor="text1"/>
        </w:rPr>
        <w:t xml:space="preserve">l </w:t>
      </w:r>
      <w:r w:rsidRPr="0090305A">
        <w:rPr>
          <w:i/>
          <w:iCs/>
          <w:color w:val="000000" w:themeColor="text1"/>
        </w:rPr>
        <w:t>11</w:t>
      </w:r>
      <w:r w:rsidRPr="0090305A">
        <w:rPr>
          <w:color w:val="000000" w:themeColor="text1"/>
        </w:rPr>
        <w:t>, 1–19.</w:t>
      </w:r>
    </w:p>
    <w:p w14:paraId="61C56477" w14:textId="77777777" w:rsidR="004E0210" w:rsidRPr="0090305A" w:rsidRDefault="004E0210" w:rsidP="0090305A">
      <w:pPr>
        <w:pStyle w:val="bibliografa"/>
        <w:spacing w:before="0" w:beforeAutospacing="0" w:after="0" w:afterAutospacing="0"/>
        <w:ind w:left="720" w:hanging="720"/>
        <w:rPr>
          <w:color w:val="000000" w:themeColor="text1"/>
        </w:rPr>
      </w:pPr>
      <w:r w:rsidRPr="0090305A">
        <w:rPr>
          <w:color w:val="000000" w:themeColor="text1"/>
        </w:rPr>
        <w:t xml:space="preserve">Annarelli, A., &amp; Nonino, F. (2016). Strategic and operational management of organizational resilience: Current state of research and future directions. </w:t>
      </w:r>
      <w:r w:rsidRPr="0090305A">
        <w:rPr>
          <w:i/>
          <w:color w:val="000000" w:themeColor="text1"/>
        </w:rPr>
        <w:t>Omega, 62</w:t>
      </w:r>
      <w:r w:rsidRPr="0090305A">
        <w:rPr>
          <w:color w:val="000000" w:themeColor="text1"/>
        </w:rPr>
        <w:t xml:space="preserve">, 1-18. </w:t>
      </w:r>
    </w:p>
    <w:p w14:paraId="68417E95" w14:textId="1BC67A67" w:rsidR="00955D4C" w:rsidRPr="00F65DFC" w:rsidRDefault="00955D4C" w:rsidP="0090305A">
      <w:pPr>
        <w:pStyle w:val="bibliografa"/>
        <w:spacing w:before="0" w:beforeAutospacing="0" w:after="0" w:afterAutospacing="0"/>
        <w:ind w:left="720" w:hanging="720"/>
        <w:rPr>
          <w:color w:val="000000" w:themeColor="text1"/>
        </w:rPr>
      </w:pPr>
      <w:r w:rsidRPr="0090305A">
        <w:rPr>
          <w:color w:val="000000" w:themeColor="text1"/>
        </w:rPr>
        <w:t xml:space="preserve">Baek, H.S., Lee, K.U., Joo. E.J., Lee, M.Y., &amp; Choi, K.S. (2010). Reliability and validity of the Korean version of the Connor-Davidson Resilience Scale. </w:t>
      </w:r>
      <w:r w:rsidRPr="00F65DFC">
        <w:rPr>
          <w:i/>
          <w:color w:val="000000" w:themeColor="text1"/>
        </w:rPr>
        <w:t>Psychiatry Investigation</w:t>
      </w:r>
      <w:r w:rsidR="002A6595" w:rsidRPr="00F65DFC">
        <w:rPr>
          <w:i/>
          <w:color w:val="000000" w:themeColor="text1"/>
        </w:rPr>
        <w:t xml:space="preserve">, </w:t>
      </w:r>
      <w:r w:rsidRPr="00F65DFC">
        <w:rPr>
          <w:i/>
          <w:color w:val="000000" w:themeColor="text1"/>
        </w:rPr>
        <w:t>7,</w:t>
      </w:r>
      <w:r w:rsidRPr="00F65DFC">
        <w:rPr>
          <w:color w:val="000000" w:themeColor="text1"/>
        </w:rPr>
        <w:t xml:space="preserve"> 109-115.</w:t>
      </w:r>
    </w:p>
    <w:p w14:paraId="1F54ABD3" w14:textId="77777777" w:rsidR="004E0210" w:rsidRPr="0090305A" w:rsidRDefault="004E0210" w:rsidP="0090305A">
      <w:pPr>
        <w:pStyle w:val="bibliografa"/>
        <w:spacing w:before="0" w:beforeAutospacing="0" w:after="0" w:afterAutospacing="0"/>
        <w:ind w:left="720" w:hanging="720"/>
        <w:rPr>
          <w:color w:val="000000" w:themeColor="text1"/>
        </w:rPr>
      </w:pPr>
      <w:r w:rsidRPr="00F65DFC">
        <w:rPr>
          <w:color w:val="000000" w:themeColor="text1"/>
        </w:rPr>
        <w:t xml:space="preserve">Bande, B., Fernández-Ferrín, P., Varela, J. A., &amp; Jaramillo, F. (2015). </w:t>
      </w:r>
      <w:r w:rsidRPr="0090305A">
        <w:rPr>
          <w:color w:val="000000" w:themeColor="text1"/>
        </w:rPr>
        <w:t xml:space="preserve">Emotions and salesperson propensity to leave: The effects of emotional intelligence and resilience. </w:t>
      </w:r>
      <w:r w:rsidRPr="0090305A">
        <w:rPr>
          <w:i/>
          <w:color w:val="000000" w:themeColor="text1"/>
        </w:rPr>
        <w:t>Industrial Marketing Management, 44</w:t>
      </w:r>
      <w:r w:rsidRPr="0090305A">
        <w:rPr>
          <w:color w:val="000000" w:themeColor="text1"/>
        </w:rPr>
        <w:t>, 142-153.</w:t>
      </w:r>
    </w:p>
    <w:p w14:paraId="4EC8174B" w14:textId="4B16B761" w:rsidR="00930A1B" w:rsidRPr="0090305A" w:rsidRDefault="00930A1B" w:rsidP="0090305A">
      <w:pPr>
        <w:pStyle w:val="bibliografa"/>
        <w:spacing w:before="0" w:beforeAutospacing="0" w:after="0" w:afterAutospacing="0"/>
        <w:ind w:left="720" w:hanging="720"/>
        <w:rPr>
          <w:color w:val="000000" w:themeColor="text1"/>
        </w:rPr>
      </w:pPr>
      <w:r w:rsidRPr="0090305A">
        <w:rPr>
          <w:color w:val="000000" w:themeColor="text1"/>
        </w:rPr>
        <w:t xml:space="preserve">Bland, J. M., &amp; Altman, D. G. (1997). Statistics notes: Cronbach’s alpha. </w:t>
      </w:r>
      <w:r w:rsidR="000F5C30" w:rsidRPr="0090305A">
        <w:rPr>
          <w:i/>
          <w:color w:val="000000" w:themeColor="text1"/>
        </w:rPr>
        <w:t>BMJ: British Medical Journal</w:t>
      </w:r>
      <w:r w:rsidRPr="0090305A">
        <w:rPr>
          <w:i/>
          <w:color w:val="000000" w:themeColor="text1"/>
        </w:rPr>
        <w:t>, 314</w:t>
      </w:r>
      <w:r w:rsidRPr="0090305A">
        <w:rPr>
          <w:color w:val="000000" w:themeColor="text1"/>
        </w:rPr>
        <w:t>(7080), 572.</w:t>
      </w:r>
    </w:p>
    <w:p w14:paraId="2E342F49" w14:textId="22FC839E" w:rsidR="00F2565C" w:rsidRPr="0090305A" w:rsidRDefault="004E0210" w:rsidP="0090305A">
      <w:pPr>
        <w:pStyle w:val="bibliografa"/>
        <w:spacing w:before="0" w:beforeAutospacing="0" w:after="0" w:afterAutospacing="0"/>
        <w:ind w:left="720" w:hanging="720"/>
        <w:rPr>
          <w:color w:val="000000" w:themeColor="text1"/>
        </w:rPr>
      </w:pPr>
      <w:r w:rsidRPr="0090305A">
        <w:rPr>
          <w:color w:val="000000" w:themeColor="text1"/>
        </w:rPr>
        <w:t xml:space="preserve">Block, J. H., &amp; Block, J. (1980). The role of ego-control and ego-resiliency in the organization of behavior. In W. A. Collins (Ed.), </w:t>
      </w:r>
      <w:r w:rsidRPr="0090305A">
        <w:rPr>
          <w:i/>
          <w:color w:val="000000" w:themeColor="text1"/>
        </w:rPr>
        <w:t>The Minnesota symposia on child psychology</w:t>
      </w:r>
      <w:r w:rsidRPr="0090305A">
        <w:rPr>
          <w:color w:val="000000" w:themeColor="text1"/>
        </w:rPr>
        <w:t xml:space="preserve"> (Vol. 13. pp. 39-101). Hillsdale, NJ: Erlbaum.</w:t>
      </w:r>
    </w:p>
    <w:p w14:paraId="38BE1EC1" w14:textId="72E04968" w:rsidR="004E0210" w:rsidRPr="00025892" w:rsidRDefault="004E0210" w:rsidP="0090305A">
      <w:pPr>
        <w:pStyle w:val="bibliografa"/>
        <w:spacing w:before="0" w:beforeAutospacing="0" w:after="0" w:afterAutospacing="0"/>
        <w:ind w:left="720" w:hanging="720"/>
        <w:rPr>
          <w:color w:val="000000" w:themeColor="text1"/>
        </w:rPr>
      </w:pPr>
      <w:r w:rsidRPr="0090305A">
        <w:rPr>
          <w:color w:val="000000" w:themeColor="text1"/>
        </w:rPr>
        <w:lastRenderedPageBreak/>
        <w:t>Block, J., &amp; Kremen, A. M. (1996). IQ and ego-resiliency: Conceptual and empirica</w:t>
      </w:r>
      <w:r w:rsidR="00F2565C">
        <w:rPr>
          <w:color w:val="000000" w:themeColor="text1"/>
        </w:rPr>
        <w:t xml:space="preserve">l </w:t>
      </w:r>
      <w:r w:rsidRPr="0090305A">
        <w:rPr>
          <w:color w:val="000000" w:themeColor="text1"/>
        </w:rPr>
        <w:t xml:space="preserve">connections and separateness. </w:t>
      </w:r>
      <w:r w:rsidRPr="0090305A">
        <w:rPr>
          <w:i/>
          <w:color w:val="000000" w:themeColor="text1"/>
        </w:rPr>
        <w:t>Journal of Personality and Social Psychology, 70</w:t>
      </w:r>
      <w:r w:rsidR="00F2565C" w:rsidRPr="00025892">
        <w:rPr>
          <w:color w:val="000000" w:themeColor="text1"/>
        </w:rPr>
        <w:t xml:space="preserve">, </w:t>
      </w:r>
      <w:r w:rsidRPr="00025892">
        <w:rPr>
          <w:color w:val="000000" w:themeColor="text1"/>
        </w:rPr>
        <w:t>349-361.</w:t>
      </w:r>
    </w:p>
    <w:p w14:paraId="765574D6" w14:textId="77777777" w:rsidR="004E0210" w:rsidRPr="0090305A" w:rsidRDefault="004E0210" w:rsidP="0090305A">
      <w:pPr>
        <w:pStyle w:val="bibliografa"/>
        <w:spacing w:before="0" w:beforeAutospacing="0" w:after="0" w:afterAutospacing="0"/>
        <w:ind w:left="720" w:hanging="720"/>
        <w:rPr>
          <w:color w:val="000000" w:themeColor="text1"/>
        </w:rPr>
      </w:pPr>
      <w:r w:rsidRPr="00025892">
        <w:rPr>
          <w:color w:val="000000" w:themeColor="text1"/>
        </w:rPr>
        <w:t xml:space="preserve">Bonanno, G. A., Galea, S., Bucciarelli, A., &amp; Vlahov, D. (2007). </w:t>
      </w:r>
      <w:r w:rsidRPr="0090305A">
        <w:rPr>
          <w:color w:val="000000" w:themeColor="text1"/>
        </w:rPr>
        <w:t xml:space="preserve">What predicts psychological resilience after disaster? The role of demographics, resources, and life stress. </w:t>
      </w:r>
      <w:r w:rsidRPr="0090305A">
        <w:rPr>
          <w:i/>
          <w:color w:val="000000" w:themeColor="text1"/>
        </w:rPr>
        <w:t>Journal of Consulting and Clinical Psychology, 75</w:t>
      </w:r>
      <w:r w:rsidRPr="0090305A">
        <w:rPr>
          <w:color w:val="000000" w:themeColor="text1"/>
        </w:rPr>
        <w:t>, 671–682. doi:10.1037/0022-006X.75.5.671</w:t>
      </w:r>
    </w:p>
    <w:p w14:paraId="47703E09" w14:textId="1DC4889F" w:rsidR="004E0210" w:rsidRDefault="004E0210" w:rsidP="00EE7802">
      <w:pPr>
        <w:pStyle w:val="bibliografa"/>
        <w:spacing w:before="0" w:beforeAutospacing="0" w:after="0" w:afterAutospacing="0"/>
        <w:ind w:left="720" w:hanging="720"/>
        <w:rPr>
          <w:color w:val="000000" w:themeColor="text1"/>
        </w:rPr>
      </w:pPr>
      <w:r w:rsidRPr="0090305A">
        <w:rPr>
          <w:color w:val="000000" w:themeColor="text1"/>
        </w:rPr>
        <w:t xml:space="preserve">Bowen, S. A. (2004). Expansion of ethics as the tenth generic principle of public relations excellence: A Kantian theory and model for managing ethical issues. </w:t>
      </w:r>
      <w:r w:rsidRPr="0090305A">
        <w:rPr>
          <w:i/>
          <w:color w:val="000000" w:themeColor="text1"/>
        </w:rPr>
        <w:t>Journal of Public Relations Research, 16</w:t>
      </w:r>
      <w:r w:rsidRPr="0090305A">
        <w:rPr>
          <w:color w:val="000000" w:themeColor="text1"/>
        </w:rPr>
        <w:t xml:space="preserve">(1), 65–92. </w:t>
      </w:r>
      <w:hyperlink r:id="rId8" w:history="1">
        <w:r w:rsidRPr="0090305A">
          <w:rPr>
            <w:rStyle w:val="Hipervnculo"/>
            <w:color w:val="000000" w:themeColor="text1"/>
          </w:rPr>
          <w:t>http://dx.doi.org/10.1207/s1532754xjprr1601_3</w:t>
        </w:r>
      </w:hyperlink>
      <w:r w:rsidRPr="0090305A">
        <w:rPr>
          <w:color w:val="000000" w:themeColor="text1"/>
        </w:rPr>
        <w:t>.</w:t>
      </w:r>
    </w:p>
    <w:p w14:paraId="17BA0C03" w14:textId="7A9FE562" w:rsidR="00670558" w:rsidRDefault="00670558" w:rsidP="00EE7802">
      <w:pPr>
        <w:pStyle w:val="bibliografa"/>
        <w:spacing w:before="0" w:beforeAutospacing="0" w:after="0" w:afterAutospacing="0"/>
        <w:ind w:left="720" w:hanging="720"/>
        <w:rPr>
          <w:color w:val="000000" w:themeColor="text1"/>
        </w:rPr>
      </w:pPr>
      <w:r w:rsidRPr="00670558">
        <w:rPr>
          <w:color w:val="000000" w:themeColor="text1"/>
        </w:rPr>
        <w:t>Bright, L. (2008). Does public service motivation really make a difference on the job satisfaction and turnover intentions of public employees?</w:t>
      </w:r>
      <w:r w:rsidR="002E3500">
        <w:rPr>
          <w:color w:val="000000" w:themeColor="text1"/>
        </w:rPr>
        <w:t>.</w:t>
      </w:r>
      <w:r w:rsidRPr="00670558">
        <w:rPr>
          <w:color w:val="000000" w:themeColor="text1"/>
        </w:rPr>
        <w:t xml:space="preserve"> </w:t>
      </w:r>
      <w:r w:rsidRPr="0090305A">
        <w:rPr>
          <w:i/>
          <w:iCs/>
          <w:color w:val="000000" w:themeColor="text1"/>
        </w:rPr>
        <w:t>The American Review of Public Administration, 38</w:t>
      </w:r>
      <w:r w:rsidRPr="00670558">
        <w:rPr>
          <w:color w:val="000000" w:themeColor="text1"/>
        </w:rPr>
        <w:t>(2), 149-166.</w:t>
      </w:r>
    </w:p>
    <w:p w14:paraId="30B2255E" w14:textId="75F682C0" w:rsidR="00C17DC6" w:rsidRDefault="00C17DC6" w:rsidP="00EE7802">
      <w:pPr>
        <w:pStyle w:val="bibliografa"/>
        <w:spacing w:before="0" w:beforeAutospacing="0" w:after="0" w:afterAutospacing="0"/>
        <w:ind w:left="720" w:hanging="720"/>
        <w:rPr>
          <w:color w:val="000000" w:themeColor="text1"/>
        </w:rPr>
      </w:pPr>
      <w:r w:rsidRPr="00C17DC6">
        <w:rPr>
          <w:color w:val="000000" w:themeColor="text1"/>
        </w:rPr>
        <w:t xml:space="preserve">Britt, T. W., &amp; Jex, S. M. (2015). </w:t>
      </w:r>
      <w:r w:rsidRPr="0090305A">
        <w:rPr>
          <w:i/>
          <w:iCs/>
          <w:color w:val="000000" w:themeColor="text1"/>
        </w:rPr>
        <w:t>Thriving under stress: Harnessing demands in the workplace.</w:t>
      </w:r>
      <w:r w:rsidRPr="00C17DC6">
        <w:rPr>
          <w:color w:val="000000" w:themeColor="text1"/>
        </w:rPr>
        <w:t xml:space="preserve"> Oxford University Press, USA.</w:t>
      </w:r>
    </w:p>
    <w:p w14:paraId="677BF38A" w14:textId="0D80AFF2" w:rsidR="00D136E9" w:rsidRPr="0090305A" w:rsidRDefault="00D136E9" w:rsidP="0090305A">
      <w:pPr>
        <w:pStyle w:val="bibliografa"/>
        <w:spacing w:before="0" w:beforeAutospacing="0" w:after="0" w:afterAutospacing="0"/>
        <w:ind w:left="720" w:hanging="720"/>
        <w:rPr>
          <w:color w:val="000000" w:themeColor="text1"/>
        </w:rPr>
      </w:pPr>
      <w:r w:rsidRPr="00D136E9">
        <w:rPr>
          <w:color w:val="000000" w:themeColor="text1"/>
        </w:rPr>
        <w:t>Brunetti, G. J. (2006). Resilience under fire: Perspectives on the work of experienced, inner</w:t>
      </w:r>
      <w:r>
        <w:rPr>
          <w:color w:val="000000" w:themeColor="text1"/>
        </w:rPr>
        <w:t xml:space="preserve"> </w:t>
      </w:r>
      <w:r w:rsidRPr="00D136E9">
        <w:rPr>
          <w:color w:val="000000" w:themeColor="text1"/>
        </w:rPr>
        <w:t>cit</w:t>
      </w:r>
      <w:r>
        <w:rPr>
          <w:color w:val="000000" w:themeColor="text1"/>
        </w:rPr>
        <w:t xml:space="preserve"> </w:t>
      </w:r>
      <w:r w:rsidRPr="00D136E9">
        <w:rPr>
          <w:color w:val="000000" w:themeColor="text1"/>
        </w:rPr>
        <w:t xml:space="preserve">high school teachers in the United States. </w:t>
      </w:r>
      <w:r w:rsidRPr="0090305A">
        <w:rPr>
          <w:i/>
          <w:iCs/>
          <w:color w:val="000000" w:themeColor="text1"/>
        </w:rPr>
        <w:t>Teaching and Teacher Education, 22</w:t>
      </w:r>
      <w:r w:rsidRPr="00D136E9">
        <w:rPr>
          <w:color w:val="000000" w:themeColor="text1"/>
        </w:rPr>
        <w:t>(7), 812-825.</w:t>
      </w:r>
    </w:p>
    <w:p w14:paraId="3808C8B2" w14:textId="77777777" w:rsidR="004E0210" w:rsidRPr="0090305A" w:rsidRDefault="004E0210" w:rsidP="0090305A">
      <w:pPr>
        <w:pStyle w:val="bibliografa"/>
        <w:spacing w:before="0" w:beforeAutospacing="0" w:after="0" w:afterAutospacing="0"/>
        <w:ind w:left="720" w:hanging="720"/>
        <w:rPr>
          <w:color w:val="000000" w:themeColor="text1"/>
        </w:rPr>
      </w:pPr>
      <w:r w:rsidRPr="0090305A">
        <w:rPr>
          <w:color w:val="000000" w:themeColor="text1"/>
        </w:rPr>
        <w:t xml:space="preserve">Buckner, J. C., Mezzacappa, E., &amp; Beardslee, W. R. (2003). Characteristics of resilient youths living in poverty: The role of self-regulatory processes. </w:t>
      </w:r>
      <w:r w:rsidRPr="0090305A">
        <w:rPr>
          <w:i/>
          <w:color w:val="000000" w:themeColor="text1"/>
        </w:rPr>
        <w:t>Development and Psychopathology, 15</w:t>
      </w:r>
      <w:r w:rsidRPr="0090305A">
        <w:rPr>
          <w:color w:val="000000" w:themeColor="text1"/>
        </w:rPr>
        <w:t>, 139-162.</w:t>
      </w:r>
    </w:p>
    <w:p w14:paraId="44081DF2" w14:textId="77777777" w:rsidR="004E0210" w:rsidRPr="0090305A" w:rsidRDefault="004E0210" w:rsidP="0090305A">
      <w:pPr>
        <w:pStyle w:val="bibliografa"/>
        <w:spacing w:before="0" w:beforeAutospacing="0" w:after="0" w:afterAutospacing="0"/>
        <w:ind w:left="720" w:hanging="720"/>
        <w:rPr>
          <w:color w:val="000000" w:themeColor="text1"/>
        </w:rPr>
      </w:pPr>
      <w:r w:rsidRPr="0090305A">
        <w:rPr>
          <w:color w:val="000000" w:themeColor="text1"/>
        </w:rPr>
        <w:lastRenderedPageBreak/>
        <w:t xml:space="preserve">Burns, R. A., &amp; Anstey, K. J. (2010). The Connor–Davidson Resilience Scale (CD-RISC): Testing the invariance of a uni-dimensional resilience measure that is independent of positive and negative affect. </w:t>
      </w:r>
      <w:r w:rsidRPr="0090305A">
        <w:rPr>
          <w:i/>
          <w:color w:val="000000" w:themeColor="text1"/>
        </w:rPr>
        <w:t>Personality and Individual Differences, 48(</w:t>
      </w:r>
      <w:r w:rsidRPr="0090305A">
        <w:rPr>
          <w:color w:val="000000" w:themeColor="text1"/>
        </w:rPr>
        <w:t>5), 527-531.</w:t>
      </w:r>
    </w:p>
    <w:p w14:paraId="0671991F" w14:textId="0F7AD1B7" w:rsidR="004E0210" w:rsidRDefault="004E0210">
      <w:pPr>
        <w:pStyle w:val="bibliografa"/>
        <w:spacing w:before="0" w:beforeAutospacing="0" w:after="0" w:afterAutospacing="0"/>
        <w:ind w:left="720" w:hanging="720"/>
        <w:rPr>
          <w:color w:val="000000" w:themeColor="text1"/>
        </w:rPr>
      </w:pPr>
      <w:r w:rsidRPr="0090305A">
        <w:rPr>
          <w:color w:val="000000" w:themeColor="text1"/>
        </w:rPr>
        <w:t xml:space="preserve">Buzzanell, P.M. (2010). Resilience: talking, resisting, and imagining new normalcies into being, </w:t>
      </w:r>
      <w:r w:rsidRPr="0090305A">
        <w:rPr>
          <w:i/>
          <w:color w:val="000000" w:themeColor="text1"/>
        </w:rPr>
        <w:t>Journal of Communication, 60</w:t>
      </w:r>
      <w:r w:rsidRPr="0090305A">
        <w:rPr>
          <w:color w:val="000000" w:themeColor="text1"/>
        </w:rPr>
        <w:t>(1), 1-14.</w:t>
      </w:r>
    </w:p>
    <w:p w14:paraId="75CC139F" w14:textId="7DFDBAD7" w:rsidR="00E16731" w:rsidRPr="00F65DFC" w:rsidRDefault="00E16731" w:rsidP="0090305A">
      <w:pPr>
        <w:pStyle w:val="bibliografa"/>
        <w:spacing w:before="0" w:beforeAutospacing="0" w:after="0" w:afterAutospacing="0"/>
        <w:ind w:left="720" w:hanging="720"/>
        <w:rPr>
          <w:color w:val="000000" w:themeColor="text1"/>
        </w:rPr>
      </w:pPr>
      <w:r w:rsidRPr="00F65DFC">
        <w:rPr>
          <w:color w:val="000000" w:themeColor="text1"/>
          <w:lang w:val="pt-PT"/>
        </w:rPr>
        <w:t xml:space="preserve">Cabrera-García, V., Casas, K., Pardo, S. &amp; Rodríguez, D. (2017). </w:t>
      </w:r>
      <w:r w:rsidRPr="00025892">
        <w:rPr>
          <w:color w:val="000000" w:themeColor="text1"/>
          <w:lang w:val="es-ES"/>
        </w:rPr>
        <w:t>Análisis de la resiliencia en p</w:t>
      </w:r>
      <w:r w:rsidRPr="00025892">
        <w:rPr>
          <w:i/>
          <w:iCs/>
          <w:color w:val="000000" w:themeColor="text1"/>
          <w:lang w:val="es-ES"/>
        </w:rPr>
        <w:t>ersonas divorciadas, según su nivel educativo e ingresos económicos.</w:t>
      </w:r>
      <w:r w:rsidRPr="00025892">
        <w:rPr>
          <w:color w:val="000000" w:themeColor="text1"/>
          <w:lang w:val="es-ES"/>
        </w:rPr>
        <w:t xml:space="preserve"> </w:t>
      </w:r>
      <w:r w:rsidRPr="00F65DFC">
        <w:rPr>
          <w:i/>
          <w:iCs/>
          <w:color w:val="000000" w:themeColor="text1"/>
        </w:rPr>
        <w:t>Psicogente, 20(</w:t>
      </w:r>
      <w:r w:rsidRPr="00F65DFC">
        <w:rPr>
          <w:color w:val="000000" w:themeColor="text1"/>
        </w:rPr>
        <w:t>37), 160-171. http://doi.org/10.17081/psico.20.37.2425</w:t>
      </w:r>
    </w:p>
    <w:p w14:paraId="52256F59" w14:textId="25A81613" w:rsidR="00CA262E" w:rsidRPr="0090305A" w:rsidRDefault="00CA262E" w:rsidP="0090305A">
      <w:pPr>
        <w:pStyle w:val="bibliografa"/>
        <w:spacing w:before="0" w:beforeAutospacing="0" w:after="0" w:afterAutospacing="0"/>
        <w:ind w:left="720" w:hanging="720"/>
        <w:rPr>
          <w:color w:val="000000" w:themeColor="text1"/>
        </w:rPr>
      </w:pPr>
      <w:r w:rsidRPr="00F65DFC">
        <w:rPr>
          <w:color w:val="000000" w:themeColor="text1"/>
        </w:rPr>
        <w:t xml:space="preserve">Cameron, C. A., Ungar, M., &amp; Liebenberg, L. (2007). </w:t>
      </w:r>
      <w:r w:rsidRPr="0090305A">
        <w:rPr>
          <w:color w:val="000000" w:themeColor="text1"/>
        </w:rPr>
        <w:t xml:space="preserve">Cultural understandings of resilience: Roots for wings in the development of affective resources for resilience. </w:t>
      </w:r>
      <w:r w:rsidRPr="0090305A">
        <w:rPr>
          <w:i/>
          <w:color w:val="000000" w:themeColor="text1"/>
        </w:rPr>
        <w:t>Child and Adolescent Psychiatric Clinics of North America,16</w:t>
      </w:r>
      <w:r w:rsidRPr="0090305A">
        <w:rPr>
          <w:color w:val="000000" w:themeColor="text1"/>
        </w:rPr>
        <w:t>, 285−301.</w:t>
      </w:r>
    </w:p>
    <w:p w14:paraId="60F40168" w14:textId="5B6F1010" w:rsidR="00930A1B" w:rsidRPr="0090305A" w:rsidRDefault="00930A1B" w:rsidP="0090305A">
      <w:pPr>
        <w:pStyle w:val="bibliografa"/>
        <w:spacing w:before="0" w:beforeAutospacing="0" w:after="0" w:afterAutospacing="0"/>
        <w:ind w:left="720" w:hanging="720"/>
        <w:rPr>
          <w:color w:val="000000" w:themeColor="text1"/>
        </w:rPr>
      </w:pPr>
      <w:r w:rsidRPr="0090305A">
        <w:rPr>
          <w:color w:val="000000" w:themeColor="text1"/>
        </w:rPr>
        <w:t xml:space="preserve">Campbell-Sills, L., Cohan, S. L., &amp; Stein, M. B. (2006). Relationship of resilience to personality, coping, and psychiatric symptoms in young adults. </w:t>
      </w:r>
      <w:r w:rsidRPr="0090305A">
        <w:rPr>
          <w:i/>
          <w:color w:val="000000" w:themeColor="text1"/>
        </w:rPr>
        <w:t>Behaviour research and therapy, 44</w:t>
      </w:r>
      <w:r w:rsidRPr="0090305A">
        <w:rPr>
          <w:color w:val="000000" w:themeColor="text1"/>
        </w:rPr>
        <w:t>(4), 585-599.</w:t>
      </w:r>
    </w:p>
    <w:p w14:paraId="4F0BE352" w14:textId="216D21E1" w:rsidR="004E0210" w:rsidRPr="0090305A" w:rsidRDefault="004E0210" w:rsidP="0090305A">
      <w:pPr>
        <w:pStyle w:val="bibliografa"/>
        <w:spacing w:before="0" w:beforeAutospacing="0" w:after="0" w:afterAutospacing="0"/>
        <w:ind w:left="720" w:hanging="720"/>
        <w:rPr>
          <w:color w:val="000000" w:themeColor="text1"/>
        </w:rPr>
      </w:pPr>
      <w:r w:rsidRPr="0090305A">
        <w:rPr>
          <w:color w:val="000000" w:themeColor="text1"/>
        </w:rPr>
        <w:t xml:space="preserve">Campbell-Sills, L., &amp; Stein, M. B. (2007). Psychometric analysis and refinement of the Connor-Davidson Resilience Scale (CD-RISC): Validation of a 10-item measure of resilience. </w:t>
      </w:r>
      <w:r w:rsidRPr="0090305A">
        <w:rPr>
          <w:i/>
          <w:color w:val="000000" w:themeColor="text1"/>
        </w:rPr>
        <w:t>Journal of Traumatic Stress, 2</w:t>
      </w:r>
      <w:r w:rsidR="00A559C5">
        <w:rPr>
          <w:i/>
          <w:color w:val="000000" w:themeColor="text1"/>
        </w:rPr>
        <w:t>,</w:t>
      </w:r>
      <w:r w:rsidRPr="0090305A">
        <w:rPr>
          <w:i/>
          <w:color w:val="000000" w:themeColor="text1"/>
        </w:rPr>
        <w:t>.</w:t>
      </w:r>
      <w:r w:rsidRPr="0090305A">
        <w:rPr>
          <w:color w:val="000000" w:themeColor="text1"/>
        </w:rPr>
        <w:t xml:space="preserve"> 1019–1028. doi:10.1002/jts.20271</w:t>
      </w:r>
    </w:p>
    <w:p w14:paraId="161CAF50" w14:textId="6FA9E56D" w:rsidR="004E0210" w:rsidRDefault="004E0210" w:rsidP="0090305A">
      <w:pPr>
        <w:pStyle w:val="bibliografa"/>
        <w:spacing w:before="0" w:beforeAutospacing="0" w:after="0" w:afterAutospacing="0"/>
        <w:ind w:left="720" w:hanging="720"/>
        <w:rPr>
          <w:color w:val="000000" w:themeColor="text1"/>
        </w:rPr>
      </w:pPr>
      <w:r w:rsidRPr="0090305A">
        <w:rPr>
          <w:color w:val="000000" w:themeColor="text1"/>
        </w:rPr>
        <w:t xml:space="preserve">Carlson, E. (2018). Vigilant resilience: the possibilities for renewal through preparedness. </w:t>
      </w:r>
      <w:r w:rsidRPr="0090305A">
        <w:rPr>
          <w:i/>
          <w:color w:val="000000" w:themeColor="text1"/>
        </w:rPr>
        <w:t>Corporate Communications: An International Journal, 23</w:t>
      </w:r>
      <w:r w:rsidRPr="0090305A">
        <w:rPr>
          <w:color w:val="000000" w:themeColor="text1"/>
        </w:rPr>
        <w:t>(2), 212-225.</w:t>
      </w:r>
    </w:p>
    <w:p w14:paraId="63D36B13" w14:textId="354F67C7" w:rsidR="00495841" w:rsidRPr="0090305A" w:rsidRDefault="00495841" w:rsidP="0090305A">
      <w:pPr>
        <w:pStyle w:val="bibliografa"/>
        <w:spacing w:before="0" w:beforeAutospacing="0" w:after="0" w:afterAutospacing="0"/>
        <w:ind w:left="720" w:hanging="720"/>
        <w:rPr>
          <w:color w:val="000000" w:themeColor="text1"/>
        </w:rPr>
      </w:pPr>
      <w:r w:rsidRPr="00495841">
        <w:rPr>
          <w:color w:val="000000" w:themeColor="text1"/>
        </w:rPr>
        <w:t>Carson, K. D., &amp; Bedeian, A. G. (1994). Career commitment: Construction of a measure and examination of its psychometric properties</w:t>
      </w:r>
      <w:r w:rsidRPr="0090305A">
        <w:rPr>
          <w:i/>
          <w:iCs/>
          <w:color w:val="000000" w:themeColor="text1"/>
        </w:rPr>
        <w:t>. Journal of vocational Behavior, 44</w:t>
      </w:r>
      <w:r w:rsidRPr="00495841">
        <w:rPr>
          <w:color w:val="000000" w:themeColor="text1"/>
        </w:rPr>
        <w:t>(3), 237-262.</w:t>
      </w:r>
    </w:p>
    <w:p w14:paraId="657E4077" w14:textId="77777777" w:rsidR="004E0210" w:rsidRPr="0090305A" w:rsidRDefault="004E0210" w:rsidP="0090305A">
      <w:pPr>
        <w:pStyle w:val="bibliografa"/>
        <w:spacing w:before="0" w:beforeAutospacing="0" w:after="0" w:afterAutospacing="0"/>
        <w:ind w:left="720" w:hanging="720"/>
        <w:rPr>
          <w:color w:val="000000" w:themeColor="text1"/>
        </w:rPr>
      </w:pPr>
      <w:r w:rsidRPr="0090305A">
        <w:rPr>
          <w:color w:val="000000" w:themeColor="text1"/>
        </w:rPr>
        <w:lastRenderedPageBreak/>
        <w:t>Connor, K. M., &amp; Davidson, J. R. (2003). Development of a new resilience scale: The Connor</w:t>
      </w:r>
      <w:r w:rsidRPr="0090305A">
        <w:rPr>
          <w:rFonts w:ascii="Calibri" w:eastAsia="Calibri" w:hAnsi="Calibri" w:cs="Calibri"/>
          <w:color w:val="000000" w:themeColor="text1"/>
        </w:rPr>
        <w:t>‐</w:t>
      </w:r>
      <w:r w:rsidRPr="0090305A">
        <w:rPr>
          <w:color w:val="000000" w:themeColor="text1"/>
        </w:rPr>
        <w:t>Davidson resilience scale (CD</w:t>
      </w:r>
      <w:r w:rsidRPr="0090305A">
        <w:rPr>
          <w:rFonts w:ascii="Calibri" w:eastAsia="Calibri" w:hAnsi="Calibri" w:cs="Calibri"/>
          <w:color w:val="000000" w:themeColor="text1"/>
        </w:rPr>
        <w:t>‐</w:t>
      </w:r>
      <w:r w:rsidRPr="0090305A">
        <w:rPr>
          <w:color w:val="000000" w:themeColor="text1"/>
        </w:rPr>
        <w:t>RISC). </w:t>
      </w:r>
      <w:r w:rsidRPr="0090305A">
        <w:rPr>
          <w:i/>
          <w:iCs/>
          <w:color w:val="000000" w:themeColor="text1"/>
        </w:rPr>
        <w:t>Depression and anxiety</w:t>
      </w:r>
      <w:r w:rsidRPr="0090305A">
        <w:rPr>
          <w:color w:val="000000" w:themeColor="text1"/>
        </w:rPr>
        <w:t>, </w:t>
      </w:r>
      <w:r w:rsidRPr="0090305A">
        <w:rPr>
          <w:i/>
          <w:iCs/>
          <w:color w:val="000000" w:themeColor="text1"/>
        </w:rPr>
        <w:t>18</w:t>
      </w:r>
      <w:r w:rsidRPr="0090305A">
        <w:rPr>
          <w:color w:val="000000" w:themeColor="text1"/>
        </w:rPr>
        <w:t>(2), 76-82.</w:t>
      </w:r>
    </w:p>
    <w:p w14:paraId="377BFC1C" w14:textId="04C0281B" w:rsidR="004E0210" w:rsidRDefault="004E0210">
      <w:pPr>
        <w:pStyle w:val="bibliografa"/>
        <w:spacing w:before="0" w:beforeAutospacing="0" w:after="0" w:afterAutospacing="0"/>
        <w:ind w:left="720" w:hanging="720"/>
        <w:rPr>
          <w:color w:val="000000" w:themeColor="text1"/>
        </w:rPr>
      </w:pPr>
      <w:r w:rsidRPr="0090305A">
        <w:rPr>
          <w:color w:val="000000" w:themeColor="text1"/>
        </w:rPr>
        <w:t xml:space="preserve">Connor, K.M., Davidson, J., Lee, L. (2003). Spirituality, resilience, and anger in survivors of violent trauma: a community survey. </w:t>
      </w:r>
      <w:r w:rsidRPr="0090305A">
        <w:rPr>
          <w:i/>
          <w:color w:val="000000" w:themeColor="text1"/>
        </w:rPr>
        <w:t>Journal of Traumatic Stress 16</w:t>
      </w:r>
      <w:r w:rsidRPr="0090305A">
        <w:rPr>
          <w:color w:val="000000" w:themeColor="text1"/>
        </w:rPr>
        <w:t>(5), 487–494.</w:t>
      </w:r>
    </w:p>
    <w:p w14:paraId="5ACF58D1" w14:textId="19D7B264" w:rsidR="003F2FFA" w:rsidRPr="0090305A" w:rsidRDefault="003F2FFA" w:rsidP="0090305A">
      <w:pPr>
        <w:pStyle w:val="bibliografa"/>
        <w:spacing w:before="0" w:beforeAutospacing="0" w:after="0" w:afterAutospacing="0"/>
        <w:ind w:left="720" w:hanging="720"/>
        <w:rPr>
          <w:color w:val="000000" w:themeColor="text1"/>
        </w:rPr>
      </w:pPr>
      <w:r w:rsidRPr="003F2FFA">
        <w:rPr>
          <w:color w:val="000000" w:themeColor="text1"/>
        </w:rPr>
        <w:t>Cooper, C. L., Liu, Y., &amp; Tarba, S. Y. (2014). Resilience, HRM practices and impact on organizational performance and employee well-being</w:t>
      </w:r>
      <w:r>
        <w:rPr>
          <w:color w:val="000000" w:themeColor="text1"/>
        </w:rPr>
        <w:t>.</w:t>
      </w:r>
      <w:r w:rsidRPr="003F2FFA">
        <w:rPr>
          <w:color w:val="000000" w:themeColor="text1"/>
        </w:rPr>
        <w:t xml:space="preserve"> </w:t>
      </w:r>
      <w:r w:rsidRPr="0090305A">
        <w:rPr>
          <w:i/>
          <w:iCs/>
          <w:color w:val="000000" w:themeColor="text1"/>
        </w:rPr>
        <w:t>The International Journal of Human Resource Management, 25</w:t>
      </w:r>
      <w:r w:rsidRPr="003F2FFA">
        <w:rPr>
          <w:color w:val="000000" w:themeColor="text1"/>
        </w:rPr>
        <w:t>, 2466–2471. doi: 10.1080/09585192.2014.926688</w:t>
      </w:r>
    </w:p>
    <w:p w14:paraId="2A4D61D8" w14:textId="792BBD22" w:rsidR="0070544D" w:rsidRPr="0090305A" w:rsidRDefault="0070544D" w:rsidP="0090305A">
      <w:pPr>
        <w:pStyle w:val="bibliografa"/>
        <w:spacing w:before="0" w:beforeAutospacing="0" w:after="0" w:afterAutospacing="0"/>
        <w:ind w:left="720" w:hanging="720"/>
        <w:rPr>
          <w:b/>
          <w:bCs/>
          <w:color w:val="000000" w:themeColor="text1"/>
        </w:rPr>
      </w:pPr>
      <w:r w:rsidRPr="0090305A">
        <w:rPr>
          <w:color w:val="000000" w:themeColor="text1"/>
        </w:rPr>
        <w:t xml:space="preserve">CPRE (2018). </w:t>
      </w:r>
      <w:r w:rsidRPr="0090305A">
        <w:rPr>
          <w:bCs/>
          <w:i/>
          <w:color w:val="000000" w:themeColor="text1"/>
        </w:rPr>
        <w:t xml:space="preserve">Fast Forward: Foundations and Future State. Educators and Practitioners. </w:t>
      </w:r>
      <w:r w:rsidRPr="0090305A">
        <w:rPr>
          <w:bCs/>
          <w:color w:val="000000" w:themeColor="text1"/>
        </w:rPr>
        <w:t>Retrieved from, http://www.commissionpred.org/wp-content/uploads/2018/04/report6-full.pdf</w:t>
      </w:r>
    </w:p>
    <w:p w14:paraId="2A8380B6" w14:textId="77777777" w:rsidR="004E0210" w:rsidRPr="0090305A" w:rsidRDefault="004E0210" w:rsidP="0090305A">
      <w:pPr>
        <w:pStyle w:val="bibliografa"/>
        <w:spacing w:before="0" w:beforeAutospacing="0" w:after="0" w:afterAutospacing="0"/>
        <w:ind w:left="720" w:hanging="720"/>
        <w:rPr>
          <w:color w:val="000000" w:themeColor="text1"/>
        </w:rPr>
      </w:pPr>
      <w:r w:rsidRPr="0090305A">
        <w:rPr>
          <w:color w:val="000000" w:themeColor="text1"/>
        </w:rPr>
        <w:t xml:space="preserve">Coutu, D. L. (2002). How resilience works. </w:t>
      </w:r>
      <w:r w:rsidRPr="0090305A">
        <w:rPr>
          <w:i/>
          <w:color w:val="000000" w:themeColor="text1"/>
        </w:rPr>
        <w:t>Harvard Business Review, 80</w:t>
      </w:r>
      <w:r w:rsidRPr="0090305A">
        <w:rPr>
          <w:color w:val="000000" w:themeColor="text1"/>
        </w:rPr>
        <w:t>, 46–55.</w:t>
      </w:r>
    </w:p>
    <w:p w14:paraId="34B34559" w14:textId="15626968" w:rsidR="00485A26" w:rsidRPr="0090305A" w:rsidRDefault="00485A26" w:rsidP="0090305A">
      <w:pPr>
        <w:pStyle w:val="bibliografa"/>
        <w:spacing w:before="0" w:beforeAutospacing="0" w:after="0" w:afterAutospacing="0"/>
        <w:ind w:left="720" w:hanging="720"/>
        <w:rPr>
          <w:color w:val="000000" w:themeColor="text1"/>
        </w:rPr>
      </w:pPr>
      <w:r w:rsidRPr="0090305A">
        <w:rPr>
          <w:color w:val="000000" w:themeColor="text1"/>
        </w:rPr>
        <w:t xml:space="preserve">Davydov, D. M., Stewart, R., Ritchie, K., &amp; Chaudieu, I. (2010). Resilience and mental health. </w:t>
      </w:r>
      <w:r w:rsidRPr="0090305A">
        <w:rPr>
          <w:i/>
          <w:color w:val="000000" w:themeColor="text1"/>
        </w:rPr>
        <w:t>Clinical psychology review, 30</w:t>
      </w:r>
      <w:r w:rsidRPr="0090305A">
        <w:rPr>
          <w:color w:val="000000" w:themeColor="text1"/>
        </w:rPr>
        <w:t>(5), 479-495.</w:t>
      </w:r>
    </w:p>
    <w:p w14:paraId="11ED84FC" w14:textId="77777777" w:rsidR="004E0210" w:rsidRPr="00F65DFC" w:rsidRDefault="004E0210" w:rsidP="0090305A">
      <w:pPr>
        <w:pStyle w:val="bibliografa"/>
        <w:spacing w:before="0" w:beforeAutospacing="0" w:after="0" w:afterAutospacing="0"/>
        <w:ind w:left="720" w:hanging="720"/>
        <w:rPr>
          <w:color w:val="000000" w:themeColor="text1"/>
        </w:rPr>
      </w:pPr>
      <w:r w:rsidRPr="0090305A">
        <w:rPr>
          <w:color w:val="000000" w:themeColor="text1"/>
        </w:rPr>
        <w:t xml:space="preserve">De Brooks, K. P., &amp; Waymer, D. (2009). Public relations and strategic issues management challenges in Venezuela: A discourse analysis of crystallex international corporation in Las Cristinas. </w:t>
      </w:r>
      <w:r w:rsidRPr="00F65DFC">
        <w:rPr>
          <w:i/>
          <w:color w:val="000000" w:themeColor="text1"/>
        </w:rPr>
        <w:t>Public Relations Review, 35</w:t>
      </w:r>
      <w:r w:rsidRPr="00F65DFC">
        <w:rPr>
          <w:color w:val="000000" w:themeColor="text1"/>
        </w:rPr>
        <w:t>(1), 31-39.</w:t>
      </w:r>
    </w:p>
    <w:p w14:paraId="1F81460E" w14:textId="07644955" w:rsidR="00A83D1C" w:rsidRPr="0090305A" w:rsidRDefault="00A83D1C" w:rsidP="0090305A">
      <w:pPr>
        <w:pStyle w:val="bibliografa"/>
        <w:spacing w:before="0" w:beforeAutospacing="0" w:after="0" w:afterAutospacing="0"/>
        <w:ind w:left="720" w:hanging="720"/>
        <w:rPr>
          <w:color w:val="000000" w:themeColor="text1"/>
        </w:rPr>
      </w:pPr>
      <w:r w:rsidRPr="00F65DFC">
        <w:rPr>
          <w:color w:val="000000" w:themeColor="text1"/>
        </w:rPr>
        <w:t xml:space="preserve">De la Fuente, J., Cardelle-Elawar, M., Martínez-Vicente, J. M., Zapata, L., &amp; Peralta, F. J. (2013). </w:t>
      </w:r>
      <w:r w:rsidRPr="0090305A">
        <w:rPr>
          <w:i/>
          <w:iCs/>
          <w:color w:val="000000" w:themeColor="text1"/>
        </w:rPr>
        <w:t>Gender as a determining factor in the coping strategies and resilience of university students.</w:t>
      </w:r>
      <w:r w:rsidRPr="0090305A">
        <w:rPr>
          <w:color w:val="000000" w:themeColor="text1"/>
        </w:rPr>
        <w:t xml:space="preserve"> Handbook of Academic Performance, 205-217.</w:t>
      </w:r>
    </w:p>
    <w:p w14:paraId="4D0C64F8" w14:textId="6B00AC64" w:rsidR="00FE23D4" w:rsidRPr="0090305A" w:rsidRDefault="00FE23D4" w:rsidP="0090305A">
      <w:pPr>
        <w:pStyle w:val="bibliografa"/>
        <w:spacing w:before="0" w:beforeAutospacing="0" w:after="0" w:afterAutospacing="0"/>
        <w:ind w:left="720" w:hanging="720"/>
        <w:rPr>
          <w:color w:val="000000" w:themeColor="text1"/>
        </w:rPr>
      </w:pPr>
      <w:r w:rsidRPr="0090305A">
        <w:rPr>
          <w:color w:val="000000" w:themeColor="text1"/>
        </w:rPr>
        <w:t xml:space="preserve">Dweck, C. S. (2006). </w:t>
      </w:r>
      <w:r w:rsidRPr="0090305A">
        <w:rPr>
          <w:i/>
          <w:iCs/>
          <w:color w:val="000000" w:themeColor="text1"/>
        </w:rPr>
        <w:t>Mindset: The new psychology of success</w:t>
      </w:r>
      <w:r w:rsidRPr="0090305A">
        <w:rPr>
          <w:color w:val="000000" w:themeColor="text1"/>
        </w:rPr>
        <w:t>. New York: Random House.</w:t>
      </w:r>
    </w:p>
    <w:p w14:paraId="278BF43D" w14:textId="77777777" w:rsidR="009568FD" w:rsidRPr="0090305A" w:rsidRDefault="004E0210" w:rsidP="0090305A">
      <w:pPr>
        <w:pStyle w:val="bibliografa"/>
        <w:spacing w:before="0" w:beforeAutospacing="0" w:after="0" w:afterAutospacing="0"/>
        <w:ind w:left="720" w:hanging="720"/>
        <w:rPr>
          <w:color w:val="000000" w:themeColor="text1"/>
        </w:rPr>
      </w:pPr>
      <w:r w:rsidRPr="0090305A">
        <w:rPr>
          <w:color w:val="000000" w:themeColor="text1"/>
        </w:rPr>
        <w:t>Erzikova, E., &amp; Berger, B. K. (2012). Leadership education in the public relations curriculum: Reality, opportunities, and benefits. </w:t>
      </w:r>
      <w:r w:rsidRPr="0090305A">
        <w:rPr>
          <w:i/>
          <w:iCs/>
          <w:color w:val="000000" w:themeColor="text1"/>
        </w:rPr>
        <w:t>Public Relations Journal</w:t>
      </w:r>
      <w:r w:rsidRPr="0090305A">
        <w:rPr>
          <w:color w:val="000000" w:themeColor="text1"/>
        </w:rPr>
        <w:t>, </w:t>
      </w:r>
      <w:r w:rsidRPr="0090305A">
        <w:rPr>
          <w:i/>
          <w:iCs/>
          <w:color w:val="000000" w:themeColor="text1"/>
        </w:rPr>
        <w:t>6</w:t>
      </w:r>
      <w:r w:rsidRPr="0090305A">
        <w:rPr>
          <w:color w:val="000000" w:themeColor="text1"/>
        </w:rPr>
        <w:t>(3), 1-30.</w:t>
      </w:r>
    </w:p>
    <w:p w14:paraId="1588E081" w14:textId="719E961D" w:rsidR="004E0210" w:rsidRPr="0090305A" w:rsidRDefault="004E0210" w:rsidP="0090305A">
      <w:pPr>
        <w:pStyle w:val="bibliografa"/>
        <w:spacing w:before="0" w:beforeAutospacing="0" w:after="0" w:afterAutospacing="0"/>
        <w:ind w:left="720" w:hanging="720"/>
        <w:rPr>
          <w:color w:val="000000" w:themeColor="text1"/>
        </w:rPr>
      </w:pPr>
      <w:r w:rsidRPr="0090305A">
        <w:rPr>
          <w:color w:val="000000" w:themeColor="text1"/>
        </w:rPr>
        <w:lastRenderedPageBreak/>
        <w:t xml:space="preserve">Ford, J.S. (2018). (Dis)identification as resilience in dirty volunteer work. </w:t>
      </w:r>
      <w:r w:rsidRPr="0090305A">
        <w:rPr>
          <w:i/>
          <w:color w:val="000000" w:themeColor="text1"/>
        </w:rPr>
        <w:t>Corporate</w:t>
      </w:r>
      <w:r w:rsidR="009568FD" w:rsidRPr="0090305A">
        <w:rPr>
          <w:color w:val="000000" w:themeColor="text1"/>
        </w:rPr>
        <w:t xml:space="preserve"> </w:t>
      </w:r>
      <w:r w:rsidRPr="0090305A">
        <w:rPr>
          <w:i/>
          <w:color w:val="000000" w:themeColor="text1"/>
        </w:rPr>
        <w:t>Communications: An International Journal, (23)</w:t>
      </w:r>
      <w:r w:rsidRPr="0090305A">
        <w:rPr>
          <w:color w:val="000000" w:themeColor="text1"/>
        </w:rPr>
        <w:t>2. 242-256, https://doi.org/10.1108/CCIJ-04-2017-0035</w:t>
      </w:r>
    </w:p>
    <w:p w14:paraId="4BE9513B" w14:textId="65CADF11" w:rsidR="009568FD" w:rsidRPr="0090305A" w:rsidRDefault="009568FD" w:rsidP="0090305A">
      <w:pPr>
        <w:pStyle w:val="bibliografa"/>
        <w:spacing w:before="0" w:beforeAutospacing="0" w:after="0" w:afterAutospacing="0"/>
        <w:ind w:left="720" w:hanging="720"/>
        <w:rPr>
          <w:color w:val="000000" w:themeColor="text1"/>
        </w:rPr>
      </w:pPr>
      <w:r w:rsidRPr="0090305A">
        <w:rPr>
          <w:color w:val="000000" w:themeColor="text1"/>
        </w:rPr>
        <w:t xml:space="preserve">Friborg, O., Hjemdal, O., Rosenvinge, J. H., &amp; Martinussen, M. (2003). A new rating scale for adult resilience: what are the central protective resources behind healthy adjustment? </w:t>
      </w:r>
      <w:r w:rsidRPr="0090305A">
        <w:rPr>
          <w:i/>
          <w:iCs/>
          <w:color w:val="000000" w:themeColor="text1"/>
        </w:rPr>
        <w:t xml:space="preserve">International </w:t>
      </w:r>
      <w:r w:rsidR="00AA26A0" w:rsidRPr="0090305A">
        <w:rPr>
          <w:i/>
          <w:iCs/>
          <w:color w:val="000000" w:themeColor="text1"/>
        </w:rPr>
        <w:t>Journal of Methods in Psychiatric Research, 12</w:t>
      </w:r>
      <w:r w:rsidRPr="0090305A">
        <w:rPr>
          <w:color w:val="000000" w:themeColor="text1"/>
        </w:rPr>
        <w:t>(2), 65-76.</w:t>
      </w:r>
    </w:p>
    <w:p w14:paraId="50457AED" w14:textId="50DE1308" w:rsidR="004E0210" w:rsidRPr="0090305A" w:rsidRDefault="004E0210" w:rsidP="0090305A">
      <w:pPr>
        <w:pStyle w:val="bibliografa"/>
        <w:spacing w:before="0" w:beforeAutospacing="0" w:after="0" w:afterAutospacing="0"/>
        <w:ind w:left="720" w:hanging="720"/>
        <w:rPr>
          <w:color w:val="000000" w:themeColor="text1"/>
        </w:rPr>
      </w:pPr>
      <w:r w:rsidRPr="0090305A">
        <w:rPr>
          <w:color w:val="000000" w:themeColor="text1"/>
        </w:rPr>
        <w:t xml:space="preserve">Gardner, T. W., Dishion, T. J., &amp; Connell, A. M. (2008). Adolescent self-regulation as resilience: Resistance to antisocial behavior within the deviant peer context. </w:t>
      </w:r>
      <w:r w:rsidRPr="0090305A">
        <w:rPr>
          <w:i/>
          <w:color w:val="000000" w:themeColor="text1"/>
        </w:rPr>
        <w:t>Journal of Abnormal Child Psychology, 36</w:t>
      </w:r>
      <w:r w:rsidRPr="0090305A">
        <w:rPr>
          <w:color w:val="000000" w:themeColor="text1"/>
        </w:rPr>
        <w:t>, 273-284.</w:t>
      </w:r>
    </w:p>
    <w:p w14:paraId="1489C213" w14:textId="77777777" w:rsidR="004E0210" w:rsidRPr="0090305A" w:rsidRDefault="004E0210" w:rsidP="0090305A">
      <w:pPr>
        <w:pStyle w:val="bibliografa"/>
        <w:spacing w:before="0" w:beforeAutospacing="0" w:after="0" w:afterAutospacing="0"/>
        <w:ind w:left="720" w:hanging="720"/>
        <w:rPr>
          <w:color w:val="000000" w:themeColor="text1"/>
        </w:rPr>
      </w:pPr>
      <w:r w:rsidRPr="0090305A">
        <w:rPr>
          <w:color w:val="000000" w:themeColor="text1"/>
        </w:rPr>
        <w:t xml:space="preserve">Gillespie, B. M., Chaboyer, W., &amp; Wallis, M. (2007). Development of a theoretically derived model of resilience through concept analysis. </w:t>
      </w:r>
      <w:r w:rsidRPr="0090305A">
        <w:rPr>
          <w:i/>
          <w:color w:val="000000" w:themeColor="text1"/>
        </w:rPr>
        <w:t>Contemporary nurse, 25</w:t>
      </w:r>
      <w:r w:rsidRPr="0090305A">
        <w:rPr>
          <w:color w:val="000000" w:themeColor="text1"/>
        </w:rPr>
        <w:t>(1-2), 124-135.</w:t>
      </w:r>
    </w:p>
    <w:p w14:paraId="03E6FC91" w14:textId="4DD7E310" w:rsidR="004E0210" w:rsidRPr="0090305A" w:rsidRDefault="004E0210" w:rsidP="0090305A">
      <w:pPr>
        <w:pStyle w:val="bibliografa"/>
        <w:spacing w:before="0" w:beforeAutospacing="0" w:after="0" w:afterAutospacing="0"/>
        <w:ind w:left="720" w:hanging="720"/>
        <w:rPr>
          <w:color w:val="000000" w:themeColor="text1"/>
        </w:rPr>
      </w:pPr>
      <w:r w:rsidRPr="0090305A">
        <w:rPr>
          <w:color w:val="000000" w:themeColor="text1"/>
        </w:rPr>
        <w:t xml:space="preserve">Goldstein, A. L., Faulkner, B., &amp; Wekerle, C. (2013). The relationship among internal resilience, smoking, alcohol use, and depression symptoms in emerging adults transitioning out of child welfare. </w:t>
      </w:r>
      <w:r w:rsidRPr="0090305A">
        <w:rPr>
          <w:i/>
          <w:color w:val="000000" w:themeColor="text1"/>
        </w:rPr>
        <w:t xml:space="preserve">Child </w:t>
      </w:r>
      <w:r w:rsidR="00505020">
        <w:rPr>
          <w:i/>
          <w:color w:val="000000" w:themeColor="text1"/>
        </w:rPr>
        <w:t>A</w:t>
      </w:r>
      <w:r w:rsidRPr="0090305A">
        <w:rPr>
          <w:i/>
          <w:color w:val="000000" w:themeColor="text1"/>
        </w:rPr>
        <w:t xml:space="preserve">buse &amp; </w:t>
      </w:r>
      <w:r w:rsidR="00505020">
        <w:rPr>
          <w:i/>
          <w:color w:val="000000" w:themeColor="text1"/>
        </w:rPr>
        <w:t>N</w:t>
      </w:r>
      <w:r w:rsidRPr="0090305A">
        <w:rPr>
          <w:i/>
          <w:color w:val="000000" w:themeColor="text1"/>
        </w:rPr>
        <w:t>eglect, 37</w:t>
      </w:r>
      <w:r w:rsidRPr="0090305A">
        <w:rPr>
          <w:color w:val="000000" w:themeColor="text1"/>
        </w:rPr>
        <w:t>(1), 22-32.</w:t>
      </w:r>
    </w:p>
    <w:p w14:paraId="2D5E052A" w14:textId="76D93247" w:rsidR="00A83D1C" w:rsidRPr="0090305A" w:rsidRDefault="00A83D1C" w:rsidP="0090305A">
      <w:pPr>
        <w:pStyle w:val="bibliografa"/>
        <w:spacing w:before="0" w:beforeAutospacing="0" w:after="0" w:afterAutospacing="0"/>
        <w:ind w:left="720" w:hanging="720"/>
        <w:rPr>
          <w:color w:val="000000" w:themeColor="text1"/>
        </w:rPr>
      </w:pPr>
      <w:r w:rsidRPr="0090305A">
        <w:rPr>
          <w:color w:val="000000" w:themeColor="text1"/>
        </w:rPr>
        <w:t xml:space="preserve">Gonzalez-Torres, M.C. &amp; Artuch, R. (2014). Profiles of resilience and coping strategies at university: Contextual and demographic variables. </w:t>
      </w:r>
      <w:r w:rsidRPr="0090305A">
        <w:rPr>
          <w:i/>
          <w:color w:val="000000" w:themeColor="text1"/>
        </w:rPr>
        <w:t>Electronic Journal of Research in Educational Psychology, 12</w:t>
      </w:r>
      <w:r w:rsidRPr="0090305A">
        <w:rPr>
          <w:color w:val="000000" w:themeColor="text1"/>
        </w:rPr>
        <w:t xml:space="preserve">, 621-648. </w:t>
      </w:r>
    </w:p>
    <w:p w14:paraId="7C078C7E" w14:textId="1CEAA00C" w:rsidR="00867248" w:rsidRDefault="00867248" w:rsidP="00EE7802">
      <w:pPr>
        <w:pStyle w:val="bibliografa"/>
        <w:spacing w:before="0" w:beforeAutospacing="0" w:after="0" w:afterAutospacing="0"/>
        <w:ind w:left="720" w:hanging="720"/>
        <w:rPr>
          <w:color w:val="000000" w:themeColor="text1"/>
        </w:rPr>
      </w:pPr>
      <w:r w:rsidRPr="0090305A">
        <w:rPr>
          <w:color w:val="000000" w:themeColor="text1"/>
        </w:rPr>
        <w:t xml:space="preserve">Green, K. T., Hayward, L. C., Williams, A. M., Dennis, P. A., Bryan, B. C., Taber, K. H., ... &amp; Calhoun, P. S. (2014). Examining the factor structure of the Connor–Davidson resilience scale (CD-RISC) in a post-9/11 US military veteran sample. </w:t>
      </w:r>
      <w:r w:rsidRPr="0090305A">
        <w:rPr>
          <w:i/>
          <w:color w:val="000000" w:themeColor="text1"/>
        </w:rPr>
        <w:t>Assessment, 21</w:t>
      </w:r>
      <w:r w:rsidRPr="0090305A">
        <w:rPr>
          <w:color w:val="000000" w:themeColor="text1"/>
        </w:rPr>
        <w:t>(4), 443-451.</w:t>
      </w:r>
    </w:p>
    <w:p w14:paraId="700AAA9F" w14:textId="7F8988B7" w:rsidR="00D136E9" w:rsidRPr="0090305A" w:rsidRDefault="00D136E9" w:rsidP="0090305A">
      <w:pPr>
        <w:pStyle w:val="bibliografa"/>
        <w:spacing w:before="0" w:beforeAutospacing="0" w:after="0" w:afterAutospacing="0"/>
        <w:ind w:left="720" w:hanging="720"/>
        <w:rPr>
          <w:color w:val="000000" w:themeColor="text1"/>
        </w:rPr>
      </w:pPr>
      <w:r w:rsidRPr="00D136E9">
        <w:rPr>
          <w:color w:val="000000" w:themeColor="text1"/>
        </w:rPr>
        <w:t xml:space="preserve">Gu, Q., &amp; Day, C. (2007). Teachers resilience: A necessary condition for effectiveness. </w:t>
      </w:r>
      <w:r w:rsidRPr="0090305A">
        <w:rPr>
          <w:i/>
          <w:iCs/>
          <w:color w:val="000000" w:themeColor="text1"/>
        </w:rPr>
        <w:t>Teaching and Teacher education, 23</w:t>
      </w:r>
      <w:r w:rsidRPr="00D136E9">
        <w:rPr>
          <w:color w:val="000000" w:themeColor="text1"/>
        </w:rPr>
        <w:t>(8), 1302-1316.</w:t>
      </w:r>
    </w:p>
    <w:p w14:paraId="4F73F9DA" w14:textId="77777777" w:rsidR="004E0210" w:rsidRPr="0090305A" w:rsidRDefault="004E0210" w:rsidP="0090305A">
      <w:pPr>
        <w:pStyle w:val="bibliografa"/>
        <w:adjustRightInd w:val="0"/>
        <w:spacing w:before="0" w:beforeAutospacing="0" w:after="0" w:afterAutospacing="0"/>
        <w:ind w:left="720" w:hanging="720"/>
        <w:rPr>
          <w:color w:val="000000" w:themeColor="text1"/>
        </w:rPr>
      </w:pPr>
      <w:r w:rsidRPr="0090305A">
        <w:rPr>
          <w:color w:val="000000" w:themeColor="text1"/>
        </w:rPr>
        <w:lastRenderedPageBreak/>
        <w:t xml:space="preserve">Gucciardi, D. F., Jackson, B., Coulter, T. J., &amp; Mallett, C. J. (2011). The Connor-Davidson Resilience Scale (CD-RISC): Dimensionality and age-related measurement invariance with Australian cricketers. </w:t>
      </w:r>
      <w:r w:rsidRPr="0090305A">
        <w:rPr>
          <w:i/>
          <w:color w:val="000000" w:themeColor="text1"/>
        </w:rPr>
        <w:t>Psychology of Sport and Exercise, 12</w:t>
      </w:r>
      <w:r w:rsidRPr="0090305A">
        <w:rPr>
          <w:color w:val="000000" w:themeColor="text1"/>
        </w:rPr>
        <w:t>(4), 423-433.</w:t>
      </w:r>
    </w:p>
    <w:p w14:paraId="2F44FC5C" w14:textId="1643F9D6" w:rsidR="004E0210" w:rsidRDefault="004E0210" w:rsidP="007B7F7C">
      <w:pPr>
        <w:pStyle w:val="bibliografa"/>
        <w:adjustRightInd w:val="0"/>
        <w:spacing w:before="0" w:beforeAutospacing="0" w:after="0" w:afterAutospacing="0"/>
        <w:ind w:left="720" w:hanging="720"/>
        <w:rPr>
          <w:color w:val="000000" w:themeColor="text1"/>
        </w:rPr>
      </w:pPr>
      <w:r w:rsidRPr="0090305A">
        <w:rPr>
          <w:color w:val="000000" w:themeColor="text1"/>
        </w:rPr>
        <w:t>Guo, S. J., &amp; Anderson, L. B. (2018). Workplace adversity and resilience in public relations: Accounting for the lived experiences of public relations practitioners. </w:t>
      </w:r>
      <w:r w:rsidRPr="0090305A">
        <w:rPr>
          <w:i/>
          <w:iCs/>
          <w:color w:val="000000" w:themeColor="text1"/>
        </w:rPr>
        <w:t>Public Relations Review</w:t>
      </w:r>
      <w:r w:rsidRPr="0090305A">
        <w:rPr>
          <w:color w:val="000000" w:themeColor="text1"/>
        </w:rPr>
        <w:t>, </w:t>
      </w:r>
      <w:r w:rsidRPr="0090305A">
        <w:rPr>
          <w:i/>
          <w:iCs/>
          <w:color w:val="000000" w:themeColor="text1"/>
        </w:rPr>
        <w:t>44</w:t>
      </w:r>
      <w:r w:rsidRPr="0090305A">
        <w:rPr>
          <w:color w:val="000000" w:themeColor="text1"/>
        </w:rPr>
        <w:t>(2), 236-246.</w:t>
      </w:r>
    </w:p>
    <w:p w14:paraId="3573DF6E" w14:textId="77777777" w:rsidR="004E6C28" w:rsidRDefault="004E0210" w:rsidP="0090305A">
      <w:pPr>
        <w:pStyle w:val="bibliografa"/>
        <w:adjustRightInd w:val="0"/>
        <w:spacing w:before="0" w:beforeAutospacing="0" w:after="0" w:afterAutospacing="0"/>
        <w:ind w:left="720" w:hanging="720"/>
        <w:rPr>
          <w:color w:val="000000" w:themeColor="text1"/>
        </w:rPr>
      </w:pPr>
      <w:r w:rsidRPr="0090305A">
        <w:rPr>
          <w:color w:val="000000" w:themeColor="text1"/>
        </w:rPr>
        <w:t>Hardy, S. E., Concato, J., &amp; Gill, T. M. (2004). Resilience of community</w:t>
      </w:r>
      <w:r w:rsidRPr="0090305A">
        <w:rPr>
          <w:rFonts w:ascii="Calibri" w:eastAsia="Calibri" w:hAnsi="Calibri" w:cs="Calibri"/>
          <w:color w:val="000000" w:themeColor="text1"/>
        </w:rPr>
        <w:t>‐</w:t>
      </w:r>
      <w:r w:rsidRPr="0090305A">
        <w:rPr>
          <w:color w:val="000000" w:themeColor="text1"/>
        </w:rPr>
        <w:t xml:space="preserve">dwelling older persons. </w:t>
      </w:r>
      <w:r w:rsidRPr="0090305A">
        <w:rPr>
          <w:i/>
          <w:color w:val="000000" w:themeColor="text1"/>
        </w:rPr>
        <w:t>Journal of the American Geriatrics society, 52</w:t>
      </w:r>
      <w:r w:rsidRPr="0090305A">
        <w:rPr>
          <w:color w:val="000000" w:themeColor="text1"/>
        </w:rPr>
        <w:t>(2), 257-262.</w:t>
      </w:r>
    </w:p>
    <w:p w14:paraId="7A253690" w14:textId="7536C320" w:rsidR="000F0AA5" w:rsidRDefault="004E6C28" w:rsidP="0090305A">
      <w:pPr>
        <w:pStyle w:val="bibliografa"/>
        <w:adjustRightInd w:val="0"/>
        <w:spacing w:before="0" w:beforeAutospacing="0" w:after="0" w:afterAutospacing="0"/>
        <w:ind w:left="720" w:hanging="720"/>
        <w:rPr>
          <w:color w:val="000000" w:themeColor="text1"/>
        </w:rPr>
      </w:pPr>
      <w:r w:rsidRPr="004E6C28">
        <w:rPr>
          <w:color w:val="000000" w:themeColor="text1"/>
        </w:rPr>
        <w:t>Harker, R., Pidgeon, A. M., Klaassen, F., &amp; King, S. (2016). Exploring resilience and</w:t>
      </w:r>
      <w:r>
        <w:rPr>
          <w:color w:val="000000" w:themeColor="text1"/>
        </w:rPr>
        <w:t xml:space="preserve"> </w:t>
      </w:r>
      <w:r w:rsidRPr="004E6C28">
        <w:rPr>
          <w:color w:val="000000" w:themeColor="text1"/>
        </w:rPr>
        <w:t xml:space="preserve">mindfulness as preventative factors for psychological distress burnout and secondary traumatic stress among human service professionals. </w:t>
      </w:r>
      <w:r w:rsidRPr="0090305A">
        <w:rPr>
          <w:i/>
          <w:iCs/>
          <w:color w:val="000000" w:themeColor="text1"/>
        </w:rPr>
        <w:t>Work, 54</w:t>
      </w:r>
      <w:r w:rsidRPr="004E6C28">
        <w:rPr>
          <w:color w:val="000000" w:themeColor="text1"/>
        </w:rPr>
        <w:t>(3), 631-637.</w:t>
      </w:r>
    </w:p>
    <w:p w14:paraId="2533D809" w14:textId="1708DD6E" w:rsidR="004E6C28" w:rsidRPr="0090305A" w:rsidRDefault="007B7F7C" w:rsidP="0090305A">
      <w:pPr>
        <w:pStyle w:val="bibliografa"/>
        <w:adjustRightInd w:val="0"/>
        <w:spacing w:before="0" w:beforeAutospacing="0" w:after="0" w:afterAutospacing="0"/>
        <w:ind w:left="720" w:hanging="720"/>
        <w:rPr>
          <w:color w:val="000000" w:themeColor="text1"/>
        </w:rPr>
      </w:pPr>
      <w:r w:rsidRPr="007B7F7C">
        <w:rPr>
          <w:color w:val="000000" w:themeColor="text1"/>
        </w:rPr>
        <w:t xml:space="preserve">Hertel, G., Rauschenbach, C., Thielgen, M. M., &amp; Krumm, S. (2015). Are older workers more active copers? Longitudinal effects of age‐contingent coping on strain at work. </w:t>
      </w:r>
      <w:r w:rsidRPr="0090305A">
        <w:rPr>
          <w:i/>
          <w:iCs/>
          <w:color w:val="000000" w:themeColor="text1"/>
        </w:rPr>
        <w:t xml:space="preserve">Journal of Organizational Behavior, </w:t>
      </w:r>
      <w:r w:rsidRPr="007B7F7C">
        <w:rPr>
          <w:color w:val="000000" w:themeColor="text1"/>
        </w:rPr>
        <w:t>36(4), 514-537.</w:t>
      </w:r>
    </w:p>
    <w:p w14:paraId="783ECE16" w14:textId="2B7F09FD" w:rsidR="008E1B82" w:rsidRPr="0090305A" w:rsidRDefault="008E1B82" w:rsidP="0090305A">
      <w:pPr>
        <w:pStyle w:val="bibliografa"/>
        <w:adjustRightInd w:val="0"/>
        <w:spacing w:before="0" w:beforeAutospacing="0" w:after="0" w:afterAutospacing="0"/>
        <w:ind w:left="720" w:hanging="720"/>
        <w:rPr>
          <w:color w:val="000000" w:themeColor="text1"/>
        </w:rPr>
      </w:pPr>
      <w:r w:rsidRPr="0090305A">
        <w:rPr>
          <w:color w:val="000000" w:themeColor="text1"/>
        </w:rPr>
        <w:t xml:space="preserve">Jeong, H. S., Kang, I., Namgung, E., Im, J. J., Jeon, Y., Son, J., ... &amp; Chung, Y. A. (2015). Validation of the Korean version of the Connor–Davidson Resilience Scale-2 in firefighters and rescue workers. </w:t>
      </w:r>
      <w:r w:rsidRPr="0090305A">
        <w:rPr>
          <w:i/>
          <w:color w:val="000000" w:themeColor="text1"/>
        </w:rPr>
        <w:t>Comprehensive psychiatry, 59</w:t>
      </w:r>
      <w:r w:rsidRPr="0090305A">
        <w:rPr>
          <w:color w:val="000000" w:themeColor="text1"/>
        </w:rPr>
        <w:t>, 123-128.</w:t>
      </w:r>
    </w:p>
    <w:p w14:paraId="3A489460" w14:textId="44D32B88" w:rsidR="00867248" w:rsidRPr="0090305A" w:rsidRDefault="004E0210" w:rsidP="0090305A">
      <w:pPr>
        <w:pStyle w:val="bibliografa"/>
        <w:adjustRightInd w:val="0"/>
        <w:spacing w:before="0" w:beforeAutospacing="0" w:after="0" w:afterAutospacing="0"/>
        <w:ind w:left="720" w:hanging="720"/>
        <w:rPr>
          <w:color w:val="000000" w:themeColor="text1"/>
        </w:rPr>
      </w:pPr>
      <w:r w:rsidRPr="0090305A">
        <w:rPr>
          <w:color w:val="000000" w:themeColor="text1"/>
        </w:rPr>
        <w:t xml:space="preserve">Jorgensen, I. E., &amp; Seedat, S. (2008). Factor structure of the Connor-Davidson resilience scale in </w:t>
      </w:r>
    </w:p>
    <w:p w14:paraId="3B261B74" w14:textId="3133B23B" w:rsidR="00867248" w:rsidRDefault="00867248" w:rsidP="00EE7802">
      <w:pPr>
        <w:pStyle w:val="bibliografa"/>
        <w:spacing w:before="0" w:beforeAutospacing="0" w:after="0" w:afterAutospacing="0"/>
        <w:ind w:left="720" w:hanging="720"/>
        <w:rPr>
          <w:color w:val="000000" w:themeColor="text1"/>
        </w:rPr>
      </w:pPr>
      <w:r w:rsidRPr="0090305A">
        <w:rPr>
          <w:color w:val="000000" w:themeColor="text1"/>
        </w:rPr>
        <w:t xml:space="preserve">Karaırmak, Ö. (2010). Establishing the psychometric qualities of the Connor–Davidson Resilience Scale (CD-RISC) using exploratory and confirmatory factor analysis in a trauma survivor sample. </w:t>
      </w:r>
      <w:r w:rsidRPr="0090305A">
        <w:rPr>
          <w:i/>
          <w:color w:val="000000" w:themeColor="text1"/>
        </w:rPr>
        <w:t>Psychiatry research, 179</w:t>
      </w:r>
      <w:r w:rsidRPr="0090305A">
        <w:rPr>
          <w:color w:val="000000" w:themeColor="text1"/>
        </w:rPr>
        <w:t>(3), 350-356.</w:t>
      </w:r>
    </w:p>
    <w:p w14:paraId="27494F70" w14:textId="13132658" w:rsidR="007B1CD8" w:rsidRDefault="007B1CD8" w:rsidP="00EE7802">
      <w:pPr>
        <w:pStyle w:val="bibliografa"/>
        <w:spacing w:before="0" w:beforeAutospacing="0" w:after="0" w:afterAutospacing="0"/>
        <w:ind w:left="720" w:hanging="720"/>
        <w:rPr>
          <w:color w:val="000000" w:themeColor="text1"/>
        </w:rPr>
      </w:pPr>
      <w:r w:rsidRPr="007B1CD8">
        <w:rPr>
          <w:color w:val="000000" w:themeColor="text1"/>
        </w:rPr>
        <w:lastRenderedPageBreak/>
        <w:t xml:space="preserve">Kjeldsen, A. M., &amp; Hansen, J. R. (2018). Sector differences in the public service motivation–job satisfaction relationship: exploring the role of organizational characteristics. </w:t>
      </w:r>
      <w:r w:rsidRPr="0090305A">
        <w:rPr>
          <w:i/>
          <w:iCs/>
          <w:color w:val="000000" w:themeColor="text1"/>
        </w:rPr>
        <w:t>Review of Public Personnel Administration, 38</w:t>
      </w:r>
      <w:r w:rsidRPr="007B1CD8">
        <w:rPr>
          <w:color w:val="000000" w:themeColor="text1"/>
        </w:rPr>
        <w:t>(1), 24-48.</w:t>
      </w:r>
    </w:p>
    <w:p w14:paraId="4699961C" w14:textId="1EAD780E" w:rsidR="00397DAF" w:rsidRPr="0090305A" w:rsidRDefault="00397DAF" w:rsidP="0090305A">
      <w:pPr>
        <w:pStyle w:val="bibliografa"/>
        <w:spacing w:before="0" w:beforeAutospacing="0" w:after="0" w:afterAutospacing="0"/>
        <w:ind w:left="720" w:hanging="720"/>
        <w:rPr>
          <w:color w:val="000000" w:themeColor="text1"/>
        </w:rPr>
      </w:pPr>
      <w:r w:rsidRPr="00397DAF">
        <w:rPr>
          <w:color w:val="000000" w:themeColor="text1"/>
        </w:rPr>
        <w:t xml:space="preserve">Kimura, T., Bande, B., &amp; Fernández-Ferrín, P. (2018). Work overload and intimidation: The moderating role of resilience. </w:t>
      </w:r>
      <w:r w:rsidRPr="0090305A">
        <w:rPr>
          <w:i/>
          <w:iCs/>
          <w:color w:val="000000" w:themeColor="text1"/>
        </w:rPr>
        <w:t>European Management Journal, 36</w:t>
      </w:r>
      <w:r w:rsidRPr="00397DAF">
        <w:rPr>
          <w:color w:val="000000" w:themeColor="text1"/>
        </w:rPr>
        <w:t>(6), 736-745.</w:t>
      </w:r>
    </w:p>
    <w:p w14:paraId="5965472F" w14:textId="77777777" w:rsidR="004E0210" w:rsidRPr="0090305A" w:rsidRDefault="004E0210" w:rsidP="0090305A">
      <w:pPr>
        <w:pStyle w:val="bibliografa"/>
        <w:spacing w:before="0" w:beforeAutospacing="0" w:after="0" w:afterAutospacing="0"/>
        <w:ind w:left="720" w:hanging="720"/>
        <w:rPr>
          <w:color w:val="000000" w:themeColor="text1"/>
        </w:rPr>
      </w:pPr>
      <w:r w:rsidRPr="0090305A">
        <w:rPr>
          <w:color w:val="000000" w:themeColor="text1"/>
        </w:rPr>
        <w:t xml:space="preserve">Kossek, E. E., &amp; Perrigino, M. B. (2016). Resilience: A review using a grounded integrated occupational approach. </w:t>
      </w:r>
      <w:r w:rsidRPr="0090305A">
        <w:rPr>
          <w:i/>
          <w:color w:val="000000" w:themeColor="text1"/>
        </w:rPr>
        <w:t>The Academy of Management Annals, 10.</w:t>
      </w:r>
      <w:r w:rsidRPr="0090305A">
        <w:rPr>
          <w:color w:val="000000" w:themeColor="text1"/>
        </w:rPr>
        <w:t xml:space="preserve"> 729-797.</w:t>
      </w:r>
    </w:p>
    <w:p w14:paraId="1D68C8B8" w14:textId="50E8902B" w:rsidR="004E0210" w:rsidRPr="0090305A" w:rsidRDefault="004E0210" w:rsidP="0090305A">
      <w:pPr>
        <w:pStyle w:val="bibliografa"/>
        <w:spacing w:before="0" w:beforeAutospacing="0" w:after="0" w:afterAutospacing="0"/>
        <w:ind w:left="720" w:hanging="720"/>
        <w:rPr>
          <w:color w:val="000000" w:themeColor="text1"/>
        </w:rPr>
      </w:pPr>
      <w:r w:rsidRPr="0090305A">
        <w:rPr>
          <w:color w:val="000000" w:themeColor="text1"/>
        </w:rPr>
        <w:t xml:space="preserve">Krush, M. T., &amp; Agnihotri, R. A. J. (2013). The salesperson's ability to bounce back: Examining the moderating role of resiliency on forms of intrarole job conflict and job attitudes, behaviors and performance. </w:t>
      </w:r>
      <w:r w:rsidRPr="0090305A">
        <w:rPr>
          <w:i/>
          <w:iCs/>
          <w:color w:val="000000" w:themeColor="text1"/>
        </w:rPr>
        <w:t>Marketing Management Journal, 23</w:t>
      </w:r>
      <w:r w:rsidR="00521BB6">
        <w:rPr>
          <w:color w:val="000000" w:themeColor="text1"/>
        </w:rPr>
        <w:t>,</w:t>
      </w:r>
      <w:r w:rsidRPr="0090305A">
        <w:rPr>
          <w:color w:val="000000" w:themeColor="text1"/>
        </w:rPr>
        <w:t xml:space="preserve"> 42-56.</w:t>
      </w:r>
    </w:p>
    <w:p w14:paraId="57E8EADF" w14:textId="7A61EA8C" w:rsidR="004E0210" w:rsidRPr="0090305A" w:rsidRDefault="004E0210" w:rsidP="0090305A">
      <w:pPr>
        <w:pStyle w:val="bibliografa"/>
        <w:spacing w:before="0" w:beforeAutospacing="0" w:after="0" w:afterAutospacing="0"/>
        <w:ind w:left="720" w:hanging="720"/>
        <w:rPr>
          <w:color w:val="000000" w:themeColor="text1"/>
        </w:rPr>
      </w:pPr>
      <w:r w:rsidRPr="0090305A">
        <w:rPr>
          <w:color w:val="000000" w:themeColor="text1"/>
        </w:rPr>
        <w:t xml:space="preserve">Kumpfer, K. (1999). Factors and processes contributing to resilience: The resilience framework. In M. D. Glantz &amp; J. L. Johnston (Eds.), </w:t>
      </w:r>
      <w:r w:rsidRPr="0090305A">
        <w:rPr>
          <w:i/>
          <w:iCs/>
          <w:color w:val="000000" w:themeColor="text1"/>
        </w:rPr>
        <w:t>Resi</w:t>
      </w:r>
      <w:r w:rsidR="00521BB6" w:rsidRPr="0090305A">
        <w:rPr>
          <w:i/>
          <w:iCs/>
          <w:color w:val="000000" w:themeColor="text1"/>
        </w:rPr>
        <w:t>l</w:t>
      </w:r>
      <w:r w:rsidRPr="0090305A">
        <w:rPr>
          <w:i/>
          <w:iCs/>
          <w:color w:val="000000" w:themeColor="text1"/>
        </w:rPr>
        <w:t>ience and development: Positive life adaptations. Longitudinal research in the social and behavioral sciences</w:t>
      </w:r>
      <w:r w:rsidRPr="0090305A">
        <w:rPr>
          <w:color w:val="000000" w:themeColor="text1"/>
        </w:rPr>
        <w:t xml:space="preserve"> (pp. 161–176). Dordrecht, the Netherlands: Kluwer Academic/Plenum Press.</w:t>
      </w:r>
    </w:p>
    <w:p w14:paraId="1D87576A" w14:textId="77777777" w:rsidR="004E0210" w:rsidRPr="0090305A" w:rsidRDefault="004E0210" w:rsidP="0090305A">
      <w:pPr>
        <w:pStyle w:val="bibliografa"/>
        <w:spacing w:before="0" w:beforeAutospacing="0" w:after="0" w:afterAutospacing="0"/>
        <w:ind w:left="720" w:hanging="720"/>
        <w:rPr>
          <w:color w:val="000000" w:themeColor="text1"/>
        </w:rPr>
      </w:pPr>
      <w:r w:rsidRPr="0090305A">
        <w:rPr>
          <w:color w:val="000000" w:themeColor="text1"/>
        </w:rPr>
        <w:t xml:space="preserve">Lamond, A. J., Depp, C. A., Allison, M., Langer, R., Reichstadt, J., Moore, D. J., &amp; Jeste, D. V. (2008). Measurement and predictors of resilience among community-dwelling older women. </w:t>
      </w:r>
      <w:r w:rsidRPr="0090305A">
        <w:rPr>
          <w:i/>
          <w:color w:val="000000" w:themeColor="text1"/>
        </w:rPr>
        <w:t>Journal of psychiatric research, 43</w:t>
      </w:r>
      <w:r w:rsidRPr="0090305A">
        <w:rPr>
          <w:color w:val="000000" w:themeColor="text1"/>
        </w:rPr>
        <w:t>(2), 148-154.</w:t>
      </w:r>
    </w:p>
    <w:p w14:paraId="6C312E49" w14:textId="77777777" w:rsidR="004E0210" w:rsidRPr="0090305A" w:rsidRDefault="004E0210" w:rsidP="0090305A">
      <w:pPr>
        <w:pStyle w:val="bibliografa"/>
        <w:spacing w:before="0" w:beforeAutospacing="0" w:after="0" w:afterAutospacing="0"/>
        <w:ind w:left="720" w:hanging="720"/>
        <w:rPr>
          <w:color w:val="000000" w:themeColor="text1"/>
        </w:rPr>
      </w:pPr>
      <w:r w:rsidRPr="0090305A">
        <w:rPr>
          <w:color w:val="000000" w:themeColor="text1"/>
        </w:rPr>
        <w:t xml:space="preserve">Lee, J. S., Ahn, Y. S., Jeong, K. S., Chae, J. H., &amp; Choi, K. S. (2014). Resilience buffers the impact of traumatic events on the development of PTSD symptoms in firefighters. </w:t>
      </w:r>
      <w:r w:rsidRPr="0090305A">
        <w:rPr>
          <w:i/>
          <w:color w:val="000000" w:themeColor="text1"/>
        </w:rPr>
        <w:t>Journal of affective disorders, 162.</w:t>
      </w:r>
      <w:r w:rsidRPr="0090305A">
        <w:rPr>
          <w:color w:val="000000" w:themeColor="text1"/>
        </w:rPr>
        <w:t xml:space="preserve"> 128-133.</w:t>
      </w:r>
    </w:p>
    <w:p w14:paraId="08C09B66" w14:textId="19700741" w:rsidR="00CC2163" w:rsidRDefault="00CC2163" w:rsidP="0090305A">
      <w:pPr>
        <w:pStyle w:val="bibliografa"/>
        <w:spacing w:before="0" w:beforeAutospacing="0" w:after="0" w:afterAutospacing="0"/>
        <w:ind w:left="720" w:hanging="720"/>
        <w:rPr>
          <w:color w:val="000000" w:themeColor="text1"/>
        </w:rPr>
      </w:pPr>
      <w:r w:rsidRPr="0090305A">
        <w:rPr>
          <w:color w:val="000000" w:themeColor="text1"/>
        </w:rPr>
        <w:t xml:space="preserve">Liu, D. W., Fairweather-Schmidt, A. K., Burns, R. A., &amp; Roberts, R. M. (2015). The Connor-Davidson Resilience Scale: Establishing invariance between gender across the lifespan in </w:t>
      </w:r>
      <w:r w:rsidRPr="0090305A">
        <w:rPr>
          <w:color w:val="000000" w:themeColor="text1"/>
        </w:rPr>
        <w:lastRenderedPageBreak/>
        <w:t xml:space="preserve">a large </w:t>
      </w:r>
      <w:r w:rsidR="00526507" w:rsidRPr="00526507">
        <w:rPr>
          <w:color w:val="000000" w:themeColor="text1"/>
        </w:rPr>
        <w:t>community-based</w:t>
      </w:r>
      <w:r w:rsidRPr="0090305A">
        <w:rPr>
          <w:color w:val="000000" w:themeColor="text1"/>
        </w:rPr>
        <w:t xml:space="preserve"> study. </w:t>
      </w:r>
      <w:r w:rsidRPr="0090305A">
        <w:rPr>
          <w:i/>
          <w:color w:val="000000" w:themeColor="text1"/>
        </w:rPr>
        <w:t>Journal of Psychopathology and Behavioral Assessment, 37</w:t>
      </w:r>
      <w:r w:rsidRPr="0090305A">
        <w:rPr>
          <w:color w:val="000000" w:themeColor="text1"/>
        </w:rPr>
        <w:t>(2), 340-348.</w:t>
      </w:r>
    </w:p>
    <w:p w14:paraId="5D6B7458" w14:textId="272DD8B8" w:rsidR="00526507" w:rsidRPr="0090305A" w:rsidRDefault="00526507" w:rsidP="0090305A">
      <w:pPr>
        <w:pStyle w:val="bibliografa"/>
        <w:spacing w:before="0" w:beforeAutospacing="0" w:after="0" w:afterAutospacing="0"/>
        <w:ind w:left="720" w:hanging="720"/>
        <w:rPr>
          <w:color w:val="000000" w:themeColor="text1"/>
        </w:rPr>
      </w:pPr>
      <w:r w:rsidRPr="00526507">
        <w:rPr>
          <w:color w:val="000000" w:themeColor="text1"/>
        </w:rPr>
        <w:t>London, M. (1993). Relationships between career motivation, empowerment and support for</w:t>
      </w:r>
      <w:r>
        <w:rPr>
          <w:color w:val="000000" w:themeColor="text1"/>
        </w:rPr>
        <w:t xml:space="preserve"> </w:t>
      </w:r>
      <w:r w:rsidRPr="00526507">
        <w:rPr>
          <w:color w:val="000000" w:themeColor="text1"/>
        </w:rPr>
        <w:t xml:space="preserve">career development. </w:t>
      </w:r>
      <w:r w:rsidRPr="0090305A">
        <w:rPr>
          <w:i/>
          <w:iCs/>
          <w:color w:val="000000" w:themeColor="text1"/>
        </w:rPr>
        <w:t>Journal of Occupational &amp; Organizational Psychology, 66</w:t>
      </w:r>
      <w:r w:rsidRPr="00526507">
        <w:rPr>
          <w:color w:val="000000" w:themeColor="text1"/>
        </w:rPr>
        <w:t>, 55-69.</w:t>
      </w:r>
    </w:p>
    <w:p w14:paraId="62EA5C55" w14:textId="47B4BB73" w:rsidR="007408C3" w:rsidRPr="0090305A" w:rsidRDefault="007408C3" w:rsidP="0090305A">
      <w:pPr>
        <w:pStyle w:val="bibliografa"/>
        <w:spacing w:before="0" w:beforeAutospacing="0" w:after="0" w:afterAutospacing="0"/>
        <w:ind w:left="720" w:hanging="720"/>
        <w:rPr>
          <w:color w:val="000000" w:themeColor="text1"/>
        </w:rPr>
      </w:pPr>
      <w:r w:rsidRPr="0090305A">
        <w:rPr>
          <w:color w:val="000000" w:themeColor="text1"/>
        </w:rPr>
        <w:t>Luthans, F., Vogelgesang, G. R., &amp; Lester, P. B. (2006). Developing the psychological capital of resiliency. </w:t>
      </w:r>
      <w:r w:rsidRPr="0090305A">
        <w:rPr>
          <w:i/>
          <w:iCs/>
          <w:color w:val="000000" w:themeColor="text1"/>
        </w:rPr>
        <w:t>Human Resource Development Review</w:t>
      </w:r>
      <w:r w:rsidRPr="0090305A">
        <w:rPr>
          <w:color w:val="000000" w:themeColor="text1"/>
        </w:rPr>
        <w:t>, </w:t>
      </w:r>
      <w:r w:rsidRPr="0090305A">
        <w:rPr>
          <w:i/>
          <w:iCs/>
          <w:color w:val="000000" w:themeColor="text1"/>
        </w:rPr>
        <w:t>5</w:t>
      </w:r>
      <w:r w:rsidRPr="0090305A">
        <w:rPr>
          <w:color w:val="000000" w:themeColor="text1"/>
        </w:rPr>
        <w:t>(1), 25-44.</w:t>
      </w:r>
    </w:p>
    <w:p w14:paraId="00FF7B34" w14:textId="658351E5" w:rsidR="00032C5C" w:rsidRPr="0090305A" w:rsidRDefault="00032C5C" w:rsidP="0090305A">
      <w:pPr>
        <w:pStyle w:val="bibliografa"/>
        <w:spacing w:before="0" w:beforeAutospacing="0" w:after="0" w:afterAutospacing="0"/>
        <w:ind w:left="720" w:hanging="720"/>
        <w:rPr>
          <w:color w:val="000000" w:themeColor="text1"/>
        </w:rPr>
      </w:pPr>
      <w:r w:rsidRPr="0090305A">
        <w:rPr>
          <w:color w:val="000000" w:themeColor="text1"/>
        </w:rPr>
        <w:t xml:space="preserve">MacLeod, S., Musich, S., Hawkins, K., Alsgaard, K., &amp; Wicker, E. R. (2016). The impact of resilience among older adults. </w:t>
      </w:r>
      <w:r w:rsidRPr="0090305A">
        <w:rPr>
          <w:i/>
          <w:color w:val="000000" w:themeColor="text1"/>
        </w:rPr>
        <w:t>Geriatric Nursing, 37</w:t>
      </w:r>
      <w:r w:rsidRPr="0090305A">
        <w:rPr>
          <w:color w:val="000000" w:themeColor="text1"/>
        </w:rPr>
        <w:t>(4), 266-272.</w:t>
      </w:r>
    </w:p>
    <w:p w14:paraId="35B03A09" w14:textId="79D30EF8" w:rsidR="004E0210" w:rsidRPr="0090305A" w:rsidRDefault="004E0210" w:rsidP="0090305A">
      <w:pPr>
        <w:pStyle w:val="bibliografa"/>
        <w:spacing w:before="0" w:beforeAutospacing="0" w:after="0" w:afterAutospacing="0"/>
        <w:ind w:left="720" w:hanging="720"/>
        <w:rPr>
          <w:color w:val="000000" w:themeColor="text1"/>
        </w:rPr>
      </w:pPr>
      <w:r w:rsidRPr="0090305A">
        <w:rPr>
          <w:color w:val="000000" w:themeColor="text1"/>
        </w:rPr>
        <w:t xml:space="preserve">Maddi, S. R., Harvey, R. H., Khoshaba, D. M., Lu, J. L., Persico, M., &amp; Brow, M. (2006). The personality construct of hardiness, III: Relationships with repression, innovativeness, authoritarianism, and performance. </w:t>
      </w:r>
      <w:r w:rsidRPr="0090305A">
        <w:rPr>
          <w:i/>
          <w:color w:val="000000" w:themeColor="text1"/>
        </w:rPr>
        <w:t>Journal of Personality, 74</w:t>
      </w:r>
      <w:r w:rsidRPr="0090305A">
        <w:rPr>
          <w:color w:val="000000" w:themeColor="text1"/>
        </w:rPr>
        <w:t>, 575–597. doi:10.1111/j.1467-6494.2006.00385.x</w:t>
      </w:r>
    </w:p>
    <w:p w14:paraId="416D7DDE" w14:textId="41B1B0E7" w:rsidR="000E0D53" w:rsidRDefault="000E0D53" w:rsidP="0090305A">
      <w:pPr>
        <w:pStyle w:val="bibliografa"/>
        <w:spacing w:before="0" w:beforeAutospacing="0" w:after="0" w:afterAutospacing="0"/>
        <w:ind w:left="720" w:hanging="720"/>
        <w:rPr>
          <w:color w:val="000000" w:themeColor="text1"/>
        </w:rPr>
      </w:pPr>
      <w:r w:rsidRPr="0090305A">
        <w:rPr>
          <w:color w:val="000000" w:themeColor="text1"/>
        </w:rPr>
        <w:t>Mallak, L. A., &amp; Yildiz, M. (2016). Developing a workplace resilience instrument. </w:t>
      </w:r>
      <w:r w:rsidRPr="0090305A">
        <w:rPr>
          <w:i/>
          <w:iCs/>
          <w:color w:val="000000" w:themeColor="text1"/>
        </w:rPr>
        <w:t>Work</w:t>
      </w:r>
      <w:r w:rsidRPr="0090305A">
        <w:rPr>
          <w:color w:val="000000" w:themeColor="text1"/>
        </w:rPr>
        <w:t>, </w:t>
      </w:r>
      <w:r w:rsidRPr="0090305A">
        <w:rPr>
          <w:i/>
          <w:iCs/>
          <w:color w:val="000000" w:themeColor="text1"/>
        </w:rPr>
        <w:t>54</w:t>
      </w:r>
      <w:r w:rsidRPr="0090305A">
        <w:rPr>
          <w:color w:val="000000" w:themeColor="text1"/>
        </w:rPr>
        <w:t>(2), 241-253.</w:t>
      </w:r>
    </w:p>
    <w:p w14:paraId="58DC56F9" w14:textId="54837E39" w:rsidR="00210678" w:rsidRPr="0090305A" w:rsidRDefault="00210678" w:rsidP="0090305A">
      <w:pPr>
        <w:pStyle w:val="bibliografa"/>
        <w:spacing w:before="0" w:beforeAutospacing="0" w:after="0" w:afterAutospacing="0"/>
        <w:ind w:left="720" w:hanging="720"/>
        <w:rPr>
          <w:color w:val="000000" w:themeColor="text1"/>
        </w:rPr>
      </w:pPr>
      <w:r w:rsidRPr="00210678">
        <w:rPr>
          <w:color w:val="000000" w:themeColor="text1"/>
        </w:rPr>
        <w:t>Mansfield, C. F., Beltman, S., Price, A., &amp; McConney, A. (2012). Don’t sweat the small stuff:</w:t>
      </w:r>
      <w:r>
        <w:rPr>
          <w:color w:val="000000" w:themeColor="text1"/>
        </w:rPr>
        <w:t xml:space="preserve"> </w:t>
      </w:r>
      <w:r w:rsidRPr="00210678">
        <w:rPr>
          <w:color w:val="000000" w:themeColor="text1"/>
        </w:rPr>
        <w:t xml:space="preserve">Understanding teacher resilience at the chalkface. </w:t>
      </w:r>
      <w:r w:rsidRPr="0090305A">
        <w:rPr>
          <w:i/>
          <w:iCs/>
          <w:color w:val="000000" w:themeColor="text1"/>
        </w:rPr>
        <w:t>Teaching and Teacher Education, 28</w:t>
      </w:r>
      <w:r w:rsidRPr="00210678">
        <w:rPr>
          <w:color w:val="000000" w:themeColor="text1"/>
        </w:rPr>
        <w:t>(3), 357-367.</w:t>
      </w:r>
    </w:p>
    <w:p w14:paraId="44AF2AA9" w14:textId="77777777" w:rsidR="004E0210" w:rsidRPr="0090305A" w:rsidRDefault="004E0210" w:rsidP="0090305A">
      <w:pPr>
        <w:pStyle w:val="bibliografa"/>
        <w:spacing w:before="0" w:beforeAutospacing="0" w:after="0" w:afterAutospacing="0"/>
        <w:ind w:left="720" w:hanging="720"/>
        <w:rPr>
          <w:color w:val="000000" w:themeColor="text1"/>
        </w:rPr>
      </w:pPr>
      <w:r w:rsidRPr="0090305A">
        <w:rPr>
          <w:color w:val="000000" w:themeColor="text1"/>
        </w:rPr>
        <w:t xml:space="preserve">Manzano-García, G., &amp; Calvo, J. C. A. (2013). Psychometric properties of Connor-Davidson Resilience Scale in a Spanish sample of entrepreneurs. </w:t>
      </w:r>
      <w:r w:rsidRPr="0090305A">
        <w:rPr>
          <w:i/>
          <w:color w:val="000000" w:themeColor="text1"/>
        </w:rPr>
        <w:t>Psicothema, 25</w:t>
      </w:r>
      <w:r w:rsidRPr="0090305A">
        <w:rPr>
          <w:color w:val="000000" w:themeColor="text1"/>
        </w:rPr>
        <w:t>(2), 245-251.</w:t>
      </w:r>
    </w:p>
    <w:p w14:paraId="25E07AC2" w14:textId="5200EC6B" w:rsidR="004D2888" w:rsidRDefault="004D2888">
      <w:pPr>
        <w:pStyle w:val="bibliografa"/>
        <w:spacing w:before="0" w:beforeAutospacing="0" w:after="0" w:afterAutospacing="0"/>
        <w:ind w:left="720" w:hanging="720"/>
        <w:rPr>
          <w:color w:val="000000" w:themeColor="text1"/>
        </w:rPr>
      </w:pPr>
      <w:r w:rsidRPr="0090305A">
        <w:rPr>
          <w:color w:val="000000" w:themeColor="text1"/>
        </w:rPr>
        <w:t>Masten, A. S. (1994). Resilience in individual development: Successful adaptation despite risk and adversity. In MC Wang &amp; EW Gordon (Eds.),</w:t>
      </w:r>
      <w:r w:rsidRPr="0090305A">
        <w:rPr>
          <w:i/>
          <w:color w:val="000000" w:themeColor="text1"/>
        </w:rPr>
        <w:t xml:space="preserve"> Educational resilience in inner-city </w:t>
      </w:r>
      <w:r w:rsidRPr="0090305A">
        <w:rPr>
          <w:i/>
          <w:color w:val="000000" w:themeColor="text1"/>
        </w:rPr>
        <w:lastRenderedPageBreak/>
        <w:t>America: Challenges and prospects</w:t>
      </w:r>
      <w:r w:rsidRPr="0090305A">
        <w:rPr>
          <w:color w:val="000000" w:themeColor="text1"/>
        </w:rPr>
        <w:t xml:space="preserve"> (pp. 3-25). Hillsdale, NJ: Lawrence Erlbaum Associates.</w:t>
      </w:r>
    </w:p>
    <w:p w14:paraId="087AB677" w14:textId="133A85F8" w:rsidR="003756B1" w:rsidRPr="0090305A" w:rsidRDefault="003756B1" w:rsidP="0090305A">
      <w:pPr>
        <w:pStyle w:val="bibliografa"/>
        <w:spacing w:before="0" w:beforeAutospacing="0" w:after="0" w:afterAutospacing="0"/>
        <w:ind w:left="720" w:hanging="720"/>
        <w:rPr>
          <w:color w:val="000000" w:themeColor="text1"/>
        </w:rPr>
      </w:pPr>
      <w:r w:rsidRPr="003756B1">
        <w:rPr>
          <w:color w:val="000000" w:themeColor="text1"/>
        </w:rPr>
        <w:t xml:space="preserve">Marchant, D. C., Polman, R. C., Clough, P. J., Jackson, J. G., Levy, A. R., &amp; Nicholls, A. R. (2009). Mental toughness: Managerial and age differences. Journal of Managerial </w:t>
      </w:r>
      <w:r w:rsidRPr="0090305A">
        <w:rPr>
          <w:i/>
          <w:iCs/>
          <w:color w:val="000000" w:themeColor="text1"/>
        </w:rPr>
        <w:t>Psychology, 24</w:t>
      </w:r>
      <w:r w:rsidRPr="003756B1">
        <w:rPr>
          <w:color w:val="000000" w:themeColor="text1"/>
        </w:rPr>
        <w:t>(5), 428-437.</w:t>
      </w:r>
    </w:p>
    <w:p w14:paraId="38EF2F4B" w14:textId="2FD22D3C" w:rsidR="009727F5" w:rsidRPr="0090305A" w:rsidRDefault="009727F5" w:rsidP="0090305A">
      <w:pPr>
        <w:pStyle w:val="bibliografa"/>
        <w:spacing w:before="0" w:beforeAutospacing="0" w:after="0" w:afterAutospacing="0"/>
        <w:ind w:left="720" w:hanging="720"/>
        <w:rPr>
          <w:color w:val="000000" w:themeColor="text1"/>
        </w:rPr>
      </w:pPr>
      <w:r w:rsidRPr="0090305A">
        <w:rPr>
          <w:color w:val="000000" w:themeColor="text1"/>
        </w:rPr>
        <w:t>McLafferty, M., Mallet, J., &amp; McCauley, V. (2012). Coping at university: the role of resilience, emotional intelligence, age and gender. </w:t>
      </w:r>
      <w:r w:rsidRPr="0090305A">
        <w:rPr>
          <w:i/>
          <w:iCs/>
          <w:color w:val="000000" w:themeColor="text1"/>
        </w:rPr>
        <w:t>J. Quant. Psychol. Res</w:t>
      </w:r>
      <w:r w:rsidRPr="0090305A">
        <w:rPr>
          <w:color w:val="000000" w:themeColor="text1"/>
        </w:rPr>
        <w:t>, </w:t>
      </w:r>
      <w:r w:rsidRPr="0090305A">
        <w:rPr>
          <w:i/>
          <w:iCs/>
          <w:color w:val="000000" w:themeColor="text1"/>
        </w:rPr>
        <w:t>1</w:t>
      </w:r>
      <w:r w:rsidRPr="0090305A">
        <w:rPr>
          <w:color w:val="000000" w:themeColor="text1"/>
        </w:rPr>
        <w:t>, 1-6.</w:t>
      </w:r>
    </w:p>
    <w:p w14:paraId="36437874" w14:textId="77777777" w:rsidR="004E0210" w:rsidRPr="0090305A" w:rsidRDefault="004E0210" w:rsidP="0090305A">
      <w:pPr>
        <w:pStyle w:val="bibliografa"/>
        <w:spacing w:before="0" w:beforeAutospacing="0" w:after="0" w:afterAutospacing="0"/>
        <w:ind w:left="720" w:hanging="720"/>
        <w:rPr>
          <w:color w:val="000000" w:themeColor="text1"/>
        </w:rPr>
      </w:pPr>
      <w:r w:rsidRPr="0090305A">
        <w:rPr>
          <w:color w:val="000000" w:themeColor="text1"/>
        </w:rPr>
        <w:t>Mellado, C., &amp; Barría, S. (2012). Development of professional roles in the practice of public relations in chile.</w:t>
      </w:r>
      <w:r w:rsidRPr="0090305A">
        <w:rPr>
          <w:i/>
          <w:iCs/>
          <w:color w:val="000000" w:themeColor="text1"/>
        </w:rPr>
        <w:t xml:space="preserve"> Public Relations Review, 38</w:t>
      </w:r>
      <w:r w:rsidRPr="0090305A">
        <w:rPr>
          <w:color w:val="000000" w:themeColor="text1"/>
        </w:rPr>
        <w:t xml:space="preserve">(3), 446-453. </w:t>
      </w:r>
    </w:p>
    <w:p w14:paraId="5570DD92" w14:textId="77777777" w:rsidR="004E0210" w:rsidRPr="0090305A" w:rsidRDefault="004E0210" w:rsidP="0090305A">
      <w:pPr>
        <w:pStyle w:val="bibliografa"/>
        <w:spacing w:before="0" w:beforeAutospacing="0" w:after="0" w:afterAutospacing="0"/>
        <w:ind w:left="720" w:hanging="720"/>
        <w:rPr>
          <w:color w:val="000000" w:themeColor="text1"/>
        </w:rPr>
      </w:pPr>
      <w:r w:rsidRPr="0090305A">
        <w:rPr>
          <w:color w:val="000000" w:themeColor="text1"/>
        </w:rPr>
        <w:t xml:space="preserve">Molleda, J. C. (2001). International paradigms: The Latin American school of public relations. </w:t>
      </w:r>
      <w:r w:rsidRPr="0090305A">
        <w:rPr>
          <w:i/>
          <w:color w:val="000000" w:themeColor="text1"/>
        </w:rPr>
        <w:t>Journalism Studies, 2</w:t>
      </w:r>
      <w:r w:rsidRPr="0090305A">
        <w:rPr>
          <w:color w:val="000000" w:themeColor="text1"/>
        </w:rPr>
        <w:t>(4), 513-530.</w:t>
      </w:r>
    </w:p>
    <w:p w14:paraId="65F1054D" w14:textId="77777777" w:rsidR="004E0210" w:rsidRPr="0090305A" w:rsidRDefault="004E0210" w:rsidP="0090305A">
      <w:pPr>
        <w:pStyle w:val="bibliografa"/>
        <w:spacing w:before="0" w:beforeAutospacing="0" w:after="0" w:afterAutospacing="0"/>
        <w:ind w:left="720" w:hanging="720"/>
        <w:rPr>
          <w:color w:val="000000" w:themeColor="text1"/>
        </w:rPr>
      </w:pPr>
      <w:r w:rsidRPr="0090305A">
        <w:rPr>
          <w:color w:val="000000" w:themeColor="text1"/>
        </w:rPr>
        <w:t>Molleda, J.C., Athaydes, A., &amp; Hirsch, V. (2003). Public relations in Brazil: Practice and education in a South American context.</w:t>
      </w:r>
      <w:r w:rsidRPr="0090305A">
        <w:rPr>
          <w:i/>
          <w:iCs/>
          <w:color w:val="000000" w:themeColor="text1"/>
        </w:rPr>
        <w:t xml:space="preserve"> Global Public Relations Handbook: Theory, Research, and Practice,</w:t>
      </w:r>
      <w:r w:rsidRPr="0090305A">
        <w:rPr>
          <w:color w:val="000000" w:themeColor="text1"/>
        </w:rPr>
        <w:t xml:space="preserve"> 356-377. </w:t>
      </w:r>
    </w:p>
    <w:p w14:paraId="6A653DF3" w14:textId="77777777" w:rsidR="004E0210" w:rsidRPr="0090305A" w:rsidRDefault="004E0210" w:rsidP="0090305A">
      <w:pPr>
        <w:pStyle w:val="bibliografa"/>
        <w:spacing w:before="0" w:beforeAutospacing="0" w:after="0" w:afterAutospacing="0"/>
        <w:ind w:left="720" w:hanging="720"/>
        <w:rPr>
          <w:color w:val="000000" w:themeColor="text1"/>
        </w:rPr>
      </w:pPr>
      <w:r w:rsidRPr="0090305A">
        <w:rPr>
          <w:color w:val="000000" w:themeColor="text1"/>
        </w:rPr>
        <w:t xml:space="preserve">Molleda, J. C., Moreno, A., &amp; Navarro, C. (2017). Professionalization of public relations in Latin America: A longitudinal comparative study. </w:t>
      </w:r>
      <w:r w:rsidRPr="0090305A">
        <w:rPr>
          <w:i/>
          <w:iCs/>
          <w:color w:val="000000" w:themeColor="text1"/>
        </w:rPr>
        <w:t>Public Relations Review, 43</w:t>
      </w:r>
      <w:r w:rsidRPr="0090305A">
        <w:rPr>
          <w:color w:val="000000" w:themeColor="text1"/>
        </w:rPr>
        <w:t>(5), 1084-1093.</w:t>
      </w:r>
    </w:p>
    <w:p w14:paraId="49069175" w14:textId="77777777" w:rsidR="004E0210" w:rsidRPr="0090305A" w:rsidRDefault="004E0210" w:rsidP="0090305A">
      <w:pPr>
        <w:pStyle w:val="bibliografa"/>
        <w:spacing w:before="0" w:beforeAutospacing="0" w:after="0" w:afterAutospacing="0"/>
        <w:ind w:left="720" w:hanging="720"/>
        <w:rPr>
          <w:color w:val="000000" w:themeColor="text1"/>
        </w:rPr>
      </w:pPr>
      <w:r w:rsidRPr="0090305A">
        <w:rPr>
          <w:color w:val="000000" w:themeColor="text1"/>
        </w:rPr>
        <w:t>Molleda, J., &amp; Suárez, A. (2005). Challenges in Colombia for public relations professionals: A qualitative assessment of the economic and political environments.</w:t>
      </w:r>
      <w:r w:rsidRPr="0090305A">
        <w:rPr>
          <w:i/>
          <w:iCs/>
          <w:color w:val="000000" w:themeColor="text1"/>
        </w:rPr>
        <w:t xml:space="preserve"> Public Relations Review, 31</w:t>
      </w:r>
      <w:r w:rsidRPr="0090305A">
        <w:rPr>
          <w:color w:val="000000" w:themeColor="text1"/>
        </w:rPr>
        <w:t xml:space="preserve">(1), 21-29. </w:t>
      </w:r>
    </w:p>
    <w:p w14:paraId="542FAAAB" w14:textId="248BFD2C" w:rsidR="00266EC0" w:rsidRPr="0090305A" w:rsidRDefault="00266EC0" w:rsidP="0090305A">
      <w:pPr>
        <w:pStyle w:val="bibliografa"/>
        <w:spacing w:before="0" w:beforeAutospacing="0" w:after="0" w:afterAutospacing="0"/>
        <w:ind w:left="720" w:hanging="720"/>
        <w:rPr>
          <w:color w:val="000000" w:themeColor="text1"/>
        </w:rPr>
      </w:pPr>
      <w:r w:rsidRPr="0090305A">
        <w:rPr>
          <w:color w:val="000000" w:themeColor="text1"/>
        </w:rPr>
        <w:t xml:space="preserve">Moreno, A., Navarro, C., Tench, R., &amp; Zerfass, A. (2015). Does social media usage matter? An analysis of online practices and digital media perceptions of communication practitioners in Europe. </w:t>
      </w:r>
      <w:r w:rsidRPr="0090305A">
        <w:rPr>
          <w:i/>
          <w:color w:val="000000" w:themeColor="text1"/>
        </w:rPr>
        <w:t>Public Relations Review, 4</w:t>
      </w:r>
      <w:r w:rsidRPr="0090305A">
        <w:rPr>
          <w:color w:val="000000" w:themeColor="text1"/>
        </w:rPr>
        <w:t>1(2), 242-253.</w:t>
      </w:r>
    </w:p>
    <w:p w14:paraId="1C070ADA" w14:textId="0B938C83" w:rsidR="004E0210" w:rsidRPr="0090305A" w:rsidRDefault="004E0210" w:rsidP="0090305A">
      <w:pPr>
        <w:pStyle w:val="bibliografa"/>
        <w:spacing w:before="0" w:beforeAutospacing="0" w:after="0" w:afterAutospacing="0"/>
        <w:ind w:left="720" w:hanging="720"/>
        <w:rPr>
          <w:color w:val="000000" w:themeColor="text1"/>
        </w:rPr>
      </w:pPr>
      <w:r w:rsidRPr="0090305A">
        <w:rPr>
          <w:color w:val="000000" w:themeColor="text1"/>
        </w:rPr>
        <w:lastRenderedPageBreak/>
        <w:t xml:space="preserve">Moore, S., Kuhik, N., Katz, B. (1996). Coping with downsizing: stress, self-esteem and social intimacy. </w:t>
      </w:r>
      <w:r w:rsidRPr="0090305A">
        <w:rPr>
          <w:i/>
          <w:color w:val="000000" w:themeColor="text1"/>
        </w:rPr>
        <w:t>Nursing Management 27</w:t>
      </w:r>
      <w:r w:rsidRPr="0090305A">
        <w:rPr>
          <w:color w:val="000000" w:themeColor="text1"/>
        </w:rPr>
        <w:t>(3), 28–30</w:t>
      </w:r>
      <w:r w:rsidR="00CA262E" w:rsidRPr="0090305A">
        <w:rPr>
          <w:color w:val="000000" w:themeColor="text1"/>
        </w:rPr>
        <w:t>.</w:t>
      </w:r>
    </w:p>
    <w:p w14:paraId="503B9A4A" w14:textId="30F22F70" w:rsidR="00CA262E" w:rsidRPr="0090305A" w:rsidRDefault="00CA262E" w:rsidP="0090305A">
      <w:pPr>
        <w:pStyle w:val="bibliografa"/>
        <w:spacing w:before="0" w:beforeAutospacing="0" w:after="0" w:afterAutospacing="0"/>
        <w:ind w:left="720" w:hanging="720"/>
        <w:rPr>
          <w:color w:val="000000" w:themeColor="text1"/>
        </w:rPr>
      </w:pPr>
      <w:r w:rsidRPr="0090305A">
        <w:rPr>
          <w:color w:val="000000" w:themeColor="text1"/>
        </w:rPr>
        <w:t xml:space="preserve">Norris, F. H., Stevens, S. P., Pfefferbaum, B., Wyche, K. F., &amp; Pfefferbaum, R. L. (2008) Community resilience as a metaphor, theory, set of capacities, and strategy </w:t>
      </w:r>
      <w:r w:rsidR="0024033C" w:rsidRPr="0024033C">
        <w:rPr>
          <w:color w:val="000000" w:themeColor="text1"/>
        </w:rPr>
        <w:t>for disaster</w:t>
      </w:r>
      <w:r w:rsidRPr="0090305A">
        <w:rPr>
          <w:color w:val="000000" w:themeColor="text1"/>
        </w:rPr>
        <w:t xml:space="preserve"> readiness. </w:t>
      </w:r>
      <w:r w:rsidRPr="0090305A">
        <w:rPr>
          <w:i/>
          <w:color w:val="000000" w:themeColor="text1"/>
        </w:rPr>
        <w:t>American Journal of Community Psychology, 41</w:t>
      </w:r>
      <w:r w:rsidRPr="0090305A">
        <w:rPr>
          <w:color w:val="000000" w:themeColor="text1"/>
        </w:rPr>
        <w:t xml:space="preserve">, 127−15 </w:t>
      </w:r>
    </w:p>
    <w:p w14:paraId="5537FC66" w14:textId="77777777" w:rsidR="004E0210" w:rsidRPr="0090305A" w:rsidRDefault="004E0210" w:rsidP="0090305A">
      <w:pPr>
        <w:pStyle w:val="bibliografa"/>
        <w:spacing w:before="0" w:beforeAutospacing="0" w:after="0" w:afterAutospacing="0"/>
        <w:ind w:left="720" w:hanging="720"/>
        <w:rPr>
          <w:color w:val="000000" w:themeColor="text1"/>
        </w:rPr>
      </w:pPr>
      <w:r w:rsidRPr="0090305A">
        <w:rPr>
          <w:color w:val="000000" w:themeColor="text1"/>
        </w:rPr>
        <w:t xml:space="preserve">Pangallo, A., Zibarras, L. D., Lewis, R. &amp; Flaxman, P. (2015). Resilience Through the Lens of Interactionism: A Systematic Review. </w:t>
      </w:r>
      <w:r w:rsidRPr="0090305A">
        <w:rPr>
          <w:i/>
          <w:color w:val="000000" w:themeColor="text1"/>
        </w:rPr>
        <w:t>Psychological Assessment, 27</w:t>
      </w:r>
      <w:r w:rsidRPr="0090305A">
        <w:rPr>
          <w:color w:val="000000" w:themeColor="text1"/>
        </w:rPr>
        <w:t xml:space="preserve">(1), pp. 1-20. doi: 10.1037/pas0000024 </w:t>
      </w:r>
    </w:p>
    <w:p w14:paraId="5FDABF87" w14:textId="77777777" w:rsidR="004E0210" w:rsidRPr="0090305A" w:rsidRDefault="004E0210" w:rsidP="0090305A">
      <w:pPr>
        <w:pStyle w:val="bibliografa"/>
        <w:spacing w:before="0" w:beforeAutospacing="0" w:after="0" w:afterAutospacing="0"/>
        <w:ind w:left="720" w:hanging="720"/>
        <w:rPr>
          <w:color w:val="000000" w:themeColor="text1"/>
        </w:rPr>
      </w:pPr>
      <w:r w:rsidRPr="0090305A">
        <w:rPr>
          <w:color w:val="000000" w:themeColor="text1"/>
        </w:rPr>
        <w:t xml:space="preserve">Parsons, P. J. (2016). </w:t>
      </w:r>
      <w:r w:rsidRPr="0090305A">
        <w:rPr>
          <w:i/>
          <w:color w:val="000000" w:themeColor="text1"/>
        </w:rPr>
        <w:t>Ethics in public relations: A guide to best practice</w:t>
      </w:r>
      <w:r w:rsidRPr="0090305A">
        <w:rPr>
          <w:color w:val="000000" w:themeColor="text1"/>
        </w:rPr>
        <w:t>. Kogan Page Publishers.</w:t>
      </w:r>
    </w:p>
    <w:p w14:paraId="04A08A29" w14:textId="7F299179" w:rsidR="00D5506F" w:rsidRPr="0090305A" w:rsidRDefault="00D5506F" w:rsidP="0090305A">
      <w:pPr>
        <w:pStyle w:val="bibliografa"/>
        <w:spacing w:before="0" w:beforeAutospacing="0" w:after="0" w:afterAutospacing="0"/>
        <w:ind w:left="720" w:hanging="720"/>
        <w:rPr>
          <w:color w:val="000000" w:themeColor="text1"/>
        </w:rPr>
      </w:pPr>
      <w:r w:rsidRPr="0090305A">
        <w:rPr>
          <w:color w:val="000000" w:themeColor="text1"/>
        </w:rPr>
        <w:t xml:space="preserve">Pew Research Center. (June 13, 2018). The Age Gap in Religion Around the World. Retrieved from, </w:t>
      </w:r>
      <w:hyperlink r:id="rId9" w:history="1">
        <w:r w:rsidR="001B41CE" w:rsidRPr="0090305A">
          <w:rPr>
            <w:rStyle w:val="Hipervnculo"/>
            <w:color w:val="000000" w:themeColor="text1"/>
          </w:rPr>
          <w:t>http://assets.pewresearch.org/wp-content/uploads/sites/11/2018/06/14112107/ReligiousCommitment-FULL-WEB.pdf</w:t>
        </w:r>
      </w:hyperlink>
    </w:p>
    <w:p w14:paraId="4EC81814" w14:textId="1E657C2D" w:rsidR="001B41CE" w:rsidRPr="0090305A" w:rsidRDefault="001B41CE" w:rsidP="0090305A">
      <w:pPr>
        <w:pStyle w:val="bibliografa"/>
        <w:spacing w:before="0" w:beforeAutospacing="0" w:after="0" w:afterAutospacing="0"/>
        <w:ind w:left="720" w:hanging="720"/>
        <w:rPr>
          <w:color w:val="000000" w:themeColor="text1"/>
        </w:rPr>
      </w:pPr>
      <w:r w:rsidRPr="00F65DFC">
        <w:rPr>
          <w:color w:val="000000" w:themeColor="text1"/>
          <w:lang w:val="it-IT"/>
        </w:rPr>
        <w:t xml:space="preserve">Roy, A., Sarchiapone, M., &amp; Carli, V. (2007). </w:t>
      </w:r>
      <w:r w:rsidRPr="0090305A">
        <w:rPr>
          <w:color w:val="000000" w:themeColor="text1"/>
        </w:rPr>
        <w:t xml:space="preserve">Low resilience in suicide attempters. </w:t>
      </w:r>
      <w:r w:rsidRPr="0090305A">
        <w:rPr>
          <w:i/>
          <w:color w:val="000000" w:themeColor="text1"/>
        </w:rPr>
        <w:t>Archives of Suicide Research, 11</w:t>
      </w:r>
      <w:r w:rsidRPr="0090305A">
        <w:rPr>
          <w:color w:val="000000" w:themeColor="text1"/>
        </w:rPr>
        <w:t>(3), 265-269.</w:t>
      </w:r>
    </w:p>
    <w:p w14:paraId="65F27C27" w14:textId="77777777" w:rsidR="004E0210" w:rsidRPr="0090305A" w:rsidRDefault="004E0210" w:rsidP="0090305A">
      <w:pPr>
        <w:pStyle w:val="bibliografa"/>
        <w:spacing w:before="0" w:beforeAutospacing="0" w:after="0" w:afterAutospacing="0"/>
        <w:ind w:left="720" w:hanging="720"/>
        <w:rPr>
          <w:color w:val="000000" w:themeColor="text1"/>
        </w:rPr>
      </w:pPr>
      <w:r w:rsidRPr="0090305A">
        <w:rPr>
          <w:color w:val="000000" w:themeColor="text1"/>
        </w:rPr>
        <w:t xml:space="preserve">Rutter, M. (1985). Resilience in the face of adversity: Protective factors and resistance to psychiatric disorder. </w:t>
      </w:r>
      <w:r w:rsidRPr="0090305A">
        <w:rPr>
          <w:i/>
          <w:color w:val="000000" w:themeColor="text1"/>
        </w:rPr>
        <w:t>The British Journal of Psychiatry, 147</w:t>
      </w:r>
      <w:r w:rsidRPr="0090305A">
        <w:rPr>
          <w:color w:val="000000" w:themeColor="text1"/>
        </w:rPr>
        <w:t xml:space="preserve">(6), 598-611. </w:t>
      </w:r>
    </w:p>
    <w:p w14:paraId="2291C367" w14:textId="77777777" w:rsidR="004E0210" w:rsidRPr="0090305A" w:rsidRDefault="004E0210" w:rsidP="0090305A">
      <w:pPr>
        <w:pStyle w:val="bibliografa"/>
        <w:spacing w:before="0" w:beforeAutospacing="0" w:after="0" w:afterAutospacing="0"/>
        <w:ind w:left="720" w:hanging="720"/>
        <w:rPr>
          <w:color w:val="000000" w:themeColor="text1"/>
        </w:rPr>
      </w:pPr>
      <w:r w:rsidRPr="0090305A">
        <w:rPr>
          <w:color w:val="000000" w:themeColor="text1"/>
        </w:rPr>
        <w:t xml:space="preserve">Rutter, M. (1987). Psychosocial resilience and protective mechanisms. </w:t>
      </w:r>
      <w:r w:rsidRPr="0090305A">
        <w:rPr>
          <w:i/>
          <w:color w:val="000000" w:themeColor="text1"/>
        </w:rPr>
        <w:t>American Journal of Orthopsychiatry, 57</w:t>
      </w:r>
      <w:r w:rsidRPr="0090305A">
        <w:rPr>
          <w:color w:val="000000" w:themeColor="text1"/>
        </w:rPr>
        <w:t xml:space="preserve">, 316-331. </w:t>
      </w:r>
      <w:hyperlink r:id="rId10" w:history="1">
        <w:r w:rsidRPr="0090305A">
          <w:rPr>
            <w:rStyle w:val="Hipervnculo"/>
            <w:color w:val="000000" w:themeColor="text1"/>
          </w:rPr>
          <w:t>http://dx.doi.org/10.1111/j.1939-0025.1987.tb03541.x</w:t>
        </w:r>
      </w:hyperlink>
      <w:r w:rsidRPr="0090305A">
        <w:rPr>
          <w:color w:val="000000" w:themeColor="text1"/>
        </w:rPr>
        <w:t>.</w:t>
      </w:r>
    </w:p>
    <w:p w14:paraId="64D5FE92" w14:textId="5C1188F1" w:rsidR="004E0210" w:rsidRDefault="00251C2D" w:rsidP="00EE7802">
      <w:pPr>
        <w:pStyle w:val="bibliografa"/>
        <w:spacing w:before="0" w:beforeAutospacing="0" w:after="0" w:afterAutospacing="0"/>
        <w:ind w:left="720" w:hanging="720"/>
        <w:rPr>
          <w:color w:val="000000" w:themeColor="text1"/>
        </w:rPr>
      </w:pPr>
      <w:r w:rsidRPr="0090305A">
        <w:rPr>
          <w:color w:val="000000" w:themeColor="text1"/>
        </w:rPr>
        <w:t>Shields, M. &amp; Ward, M. (</w:t>
      </w:r>
      <w:r w:rsidR="004E0210" w:rsidRPr="0090305A">
        <w:rPr>
          <w:color w:val="000000" w:themeColor="text1"/>
        </w:rPr>
        <w:t>2001</w:t>
      </w:r>
      <w:r w:rsidRPr="0090305A">
        <w:rPr>
          <w:color w:val="000000" w:themeColor="text1"/>
        </w:rPr>
        <w:t>)</w:t>
      </w:r>
      <w:r w:rsidR="004E0210" w:rsidRPr="0090305A">
        <w:rPr>
          <w:color w:val="000000" w:themeColor="text1"/>
        </w:rPr>
        <w:t xml:space="preserve">. Improving nurse retention in the National Health Service of England: the impact of job satisfaction on intentions to quit. </w:t>
      </w:r>
      <w:r w:rsidR="004E0210" w:rsidRPr="0090305A">
        <w:rPr>
          <w:i/>
          <w:color w:val="000000" w:themeColor="text1"/>
        </w:rPr>
        <w:t>Journal of Health Economics 20</w:t>
      </w:r>
      <w:r w:rsidR="004E0210" w:rsidRPr="0090305A">
        <w:rPr>
          <w:color w:val="000000" w:themeColor="text1"/>
        </w:rPr>
        <w:t>, 677–701</w:t>
      </w:r>
      <w:r w:rsidR="007B46EB">
        <w:rPr>
          <w:color w:val="000000" w:themeColor="text1"/>
        </w:rPr>
        <w:t>.</w:t>
      </w:r>
    </w:p>
    <w:p w14:paraId="44B0D17A" w14:textId="4E61202B" w:rsidR="00C17DC6" w:rsidRPr="0090305A" w:rsidRDefault="007B46EB" w:rsidP="0090305A">
      <w:pPr>
        <w:pStyle w:val="bibliografa"/>
        <w:spacing w:before="0" w:beforeAutospacing="0" w:after="0" w:afterAutospacing="0"/>
        <w:ind w:left="720" w:hanging="720"/>
        <w:rPr>
          <w:color w:val="000000" w:themeColor="text1"/>
        </w:rPr>
      </w:pPr>
      <w:r w:rsidRPr="007B46EB">
        <w:rPr>
          <w:color w:val="000000" w:themeColor="text1"/>
        </w:rPr>
        <w:lastRenderedPageBreak/>
        <w:t xml:space="preserve">Sigalit, W., Sivia, B., &amp; Michal, I. (2017). Factors associated with nursing students' resilience: communication skills course, use of social media and satisfaction with clinical placement. </w:t>
      </w:r>
      <w:r w:rsidRPr="0090305A">
        <w:rPr>
          <w:i/>
          <w:iCs/>
          <w:color w:val="000000" w:themeColor="text1"/>
        </w:rPr>
        <w:t>Journal of Professional Nursing, 33</w:t>
      </w:r>
      <w:r w:rsidRPr="007B46EB">
        <w:rPr>
          <w:color w:val="000000" w:themeColor="text1"/>
        </w:rPr>
        <w:t>(2), 153-161.</w:t>
      </w:r>
    </w:p>
    <w:p w14:paraId="4B3FCEE6" w14:textId="77777777" w:rsidR="004E0210" w:rsidRPr="0090305A" w:rsidRDefault="004E0210" w:rsidP="0090305A">
      <w:pPr>
        <w:pStyle w:val="bibliografa"/>
        <w:spacing w:before="0" w:beforeAutospacing="0" w:after="0" w:afterAutospacing="0"/>
        <w:ind w:left="720" w:hanging="720"/>
        <w:rPr>
          <w:color w:val="000000" w:themeColor="text1"/>
        </w:rPr>
      </w:pPr>
      <w:r w:rsidRPr="0090305A">
        <w:rPr>
          <w:color w:val="000000" w:themeColor="text1"/>
        </w:rPr>
        <w:t>Sinclair, V. G., &amp; Wallston, K. A. (2004). The development and psycho- metric evaluation of the Brief Resilient Coping Scale. Assessment, 11. 94–101. doi:10.1177/1073191103258144.</w:t>
      </w:r>
    </w:p>
    <w:p w14:paraId="69F1261E" w14:textId="77777777" w:rsidR="004E0210" w:rsidRPr="0090305A" w:rsidRDefault="004E0210" w:rsidP="0090305A">
      <w:pPr>
        <w:pStyle w:val="bibliografa"/>
        <w:spacing w:before="0" w:beforeAutospacing="0" w:after="0" w:afterAutospacing="0"/>
        <w:ind w:left="720" w:hanging="720"/>
        <w:rPr>
          <w:color w:val="000000" w:themeColor="text1"/>
        </w:rPr>
      </w:pPr>
      <w:r w:rsidRPr="0090305A">
        <w:rPr>
          <w:color w:val="000000" w:themeColor="text1"/>
        </w:rPr>
        <w:t xml:space="preserve">Singh, K., &amp; Yu, X. N. (2010). Psychometric evaluation of the Connor-Davidson Resilience Scale (CD-RISC) in a sample of Indian students. </w:t>
      </w:r>
      <w:r w:rsidRPr="0090305A">
        <w:rPr>
          <w:i/>
          <w:color w:val="000000" w:themeColor="text1"/>
        </w:rPr>
        <w:t>Journal of Psychology, 1</w:t>
      </w:r>
      <w:r w:rsidRPr="0090305A">
        <w:rPr>
          <w:color w:val="000000" w:themeColor="text1"/>
        </w:rPr>
        <w:t>(1), 23-30.</w:t>
      </w:r>
      <w:r w:rsidRPr="0090305A">
        <w:rPr>
          <w:color w:val="000000" w:themeColor="text1"/>
        </w:rPr>
        <w:tab/>
      </w:r>
    </w:p>
    <w:p w14:paraId="0A4A222A" w14:textId="7F1BEC35" w:rsidR="00EE01DB" w:rsidRDefault="00EE01DB">
      <w:pPr>
        <w:pStyle w:val="bibliografa"/>
        <w:spacing w:before="0" w:beforeAutospacing="0" w:after="0" w:afterAutospacing="0"/>
        <w:ind w:left="720" w:hanging="720"/>
        <w:rPr>
          <w:color w:val="000000" w:themeColor="text1"/>
        </w:rPr>
      </w:pPr>
      <w:r w:rsidRPr="0090305A">
        <w:rPr>
          <w:color w:val="000000" w:themeColor="text1"/>
        </w:rPr>
        <w:t xml:space="preserve">Skovholt, T. M., Grier, T. L., &amp; Hanson, M. R. (2001). Career counseling for longevity: Self-care and burnout prevention strategies for counselor resilience. </w:t>
      </w:r>
      <w:r w:rsidRPr="0090305A">
        <w:rPr>
          <w:i/>
          <w:color w:val="000000" w:themeColor="text1"/>
        </w:rPr>
        <w:t>Journal of Career Development, 27</w:t>
      </w:r>
      <w:r w:rsidRPr="0090305A">
        <w:rPr>
          <w:color w:val="000000" w:themeColor="text1"/>
        </w:rPr>
        <w:t>(3), 167-176.</w:t>
      </w:r>
    </w:p>
    <w:p w14:paraId="6D419E3E" w14:textId="20CF3FD6" w:rsidR="00C17DC6" w:rsidRPr="0090305A" w:rsidRDefault="00C17DC6" w:rsidP="0090305A">
      <w:pPr>
        <w:pStyle w:val="bibliografa"/>
        <w:spacing w:before="0" w:beforeAutospacing="0" w:after="0" w:afterAutospacing="0"/>
        <w:ind w:left="720" w:hanging="720"/>
        <w:rPr>
          <w:color w:val="000000" w:themeColor="text1"/>
        </w:rPr>
      </w:pPr>
      <w:r w:rsidRPr="00C17DC6">
        <w:rPr>
          <w:color w:val="000000" w:themeColor="text1"/>
        </w:rPr>
        <w:t xml:space="preserve">Smith, K. J., Emerson, D. J., Haight, T. D., Mauldin, S., &amp; Wood, B. G. (2019). An examination of the psychometric properties of the Connor-Davidson Resilience Scale-10 (CD-RISC10) among accounting and business students. </w:t>
      </w:r>
      <w:r w:rsidRPr="0090305A">
        <w:rPr>
          <w:i/>
          <w:iCs/>
          <w:color w:val="000000" w:themeColor="text1"/>
        </w:rPr>
        <w:t>Journal of Accounting Education, 49</w:t>
      </w:r>
      <w:r>
        <w:rPr>
          <w:color w:val="000000" w:themeColor="text1"/>
        </w:rPr>
        <w:t>, 48-62</w:t>
      </w:r>
      <w:r w:rsidRPr="00C17DC6">
        <w:rPr>
          <w:color w:val="000000" w:themeColor="text1"/>
        </w:rPr>
        <w:t>.</w:t>
      </w:r>
    </w:p>
    <w:p w14:paraId="63504D06" w14:textId="77777777" w:rsidR="004E0210" w:rsidRPr="0090305A" w:rsidRDefault="004E0210" w:rsidP="0090305A">
      <w:pPr>
        <w:pStyle w:val="bibliografa"/>
        <w:spacing w:before="0" w:beforeAutospacing="0" w:after="0" w:afterAutospacing="0"/>
        <w:ind w:left="720" w:hanging="720"/>
        <w:rPr>
          <w:color w:val="000000" w:themeColor="text1"/>
        </w:rPr>
      </w:pPr>
      <w:r w:rsidRPr="0090305A">
        <w:rPr>
          <w:color w:val="000000" w:themeColor="text1"/>
        </w:rPr>
        <w:t xml:space="preserve">Sood, A., Prasad, K., Schroeder, D., &amp; Varkey, P. (2011). Stress management and resilience training among Department of Medicine faculty: a pilot randomized clinical trial. </w:t>
      </w:r>
      <w:r w:rsidRPr="0090305A">
        <w:rPr>
          <w:i/>
          <w:color w:val="000000" w:themeColor="text1"/>
        </w:rPr>
        <w:t>Journal of general internal medicine, 26</w:t>
      </w:r>
      <w:r w:rsidRPr="0090305A">
        <w:rPr>
          <w:color w:val="000000" w:themeColor="text1"/>
        </w:rPr>
        <w:t>(8), 858-861.</w:t>
      </w:r>
    </w:p>
    <w:p w14:paraId="1AA7D040" w14:textId="77777777" w:rsidR="004E0210" w:rsidRPr="0090305A" w:rsidRDefault="004E0210" w:rsidP="0090305A">
      <w:pPr>
        <w:pStyle w:val="bibliografa"/>
        <w:spacing w:before="0" w:beforeAutospacing="0" w:after="0" w:afterAutospacing="0"/>
        <w:ind w:left="720" w:hanging="720"/>
        <w:rPr>
          <w:color w:val="000000" w:themeColor="text1"/>
        </w:rPr>
      </w:pPr>
      <w:r w:rsidRPr="0090305A">
        <w:rPr>
          <w:color w:val="000000" w:themeColor="text1"/>
        </w:rPr>
        <w:t>Stewart, M., Reid, G., &amp; Mangham, C. (1997). Fostering children's resilience</w:t>
      </w:r>
      <w:r w:rsidRPr="0090305A">
        <w:rPr>
          <w:i/>
          <w:color w:val="000000" w:themeColor="text1"/>
        </w:rPr>
        <w:t>. Journal of Pediatric Nursing, 12.</w:t>
      </w:r>
      <w:r w:rsidRPr="0090305A">
        <w:rPr>
          <w:color w:val="000000" w:themeColor="text1"/>
        </w:rPr>
        <w:t xml:space="preserve"> 21-31.</w:t>
      </w:r>
    </w:p>
    <w:p w14:paraId="4FF3C51A" w14:textId="26521326" w:rsidR="00F86B64" w:rsidRDefault="004E0210" w:rsidP="00EE7802">
      <w:pPr>
        <w:pStyle w:val="bibliografa"/>
        <w:spacing w:before="0" w:beforeAutospacing="0" w:after="0" w:afterAutospacing="0"/>
        <w:ind w:left="720" w:hanging="720"/>
        <w:rPr>
          <w:color w:val="000000" w:themeColor="text1"/>
        </w:rPr>
      </w:pPr>
      <w:r w:rsidRPr="0090305A">
        <w:rPr>
          <w:color w:val="000000" w:themeColor="text1"/>
        </w:rPr>
        <w:t>Tench, R., Verčič, D., Zerfass, A., Moreno, Á., &amp; Verhoeven, P. (2017). </w:t>
      </w:r>
      <w:r w:rsidRPr="0090305A">
        <w:rPr>
          <w:i/>
          <w:iCs/>
          <w:color w:val="000000" w:themeColor="text1"/>
        </w:rPr>
        <w:t>Communication excellence: How to develop, manage and lead exceptional communications</w:t>
      </w:r>
      <w:r w:rsidRPr="0090305A">
        <w:rPr>
          <w:color w:val="000000" w:themeColor="text1"/>
        </w:rPr>
        <w:t>.</w:t>
      </w:r>
      <w:r w:rsidR="007703EC">
        <w:rPr>
          <w:color w:val="000000" w:themeColor="text1"/>
        </w:rPr>
        <w:t xml:space="preserve"> </w:t>
      </w:r>
      <w:r w:rsidR="007703EC" w:rsidRPr="007703EC">
        <w:rPr>
          <w:color w:val="000000" w:themeColor="text1"/>
        </w:rPr>
        <w:t>London:</w:t>
      </w:r>
      <w:r w:rsidR="007703EC">
        <w:rPr>
          <w:color w:val="000000" w:themeColor="text1"/>
        </w:rPr>
        <w:t xml:space="preserve"> </w:t>
      </w:r>
      <w:r w:rsidR="007703EC" w:rsidRPr="007703EC">
        <w:rPr>
          <w:color w:val="000000" w:themeColor="text1"/>
        </w:rPr>
        <w:t>Palgrave Macmillan.</w:t>
      </w:r>
    </w:p>
    <w:p w14:paraId="664A9944" w14:textId="05F82E93" w:rsidR="00F86B64" w:rsidRPr="0090305A" w:rsidRDefault="00F86B64" w:rsidP="0090305A">
      <w:pPr>
        <w:pStyle w:val="bibliografa"/>
        <w:spacing w:before="0" w:beforeAutospacing="0" w:after="0" w:afterAutospacing="0"/>
        <w:ind w:left="720" w:hanging="720"/>
        <w:rPr>
          <w:color w:val="000000" w:themeColor="text1"/>
        </w:rPr>
      </w:pPr>
      <w:r w:rsidRPr="00025892">
        <w:rPr>
          <w:color w:val="000000" w:themeColor="text1"/>
        </w:rPr>
        <w:lastRenderedPageBreak/>
        <w:t xml:space="preserve">Tower, M., Latimer, S., &amp; Hewitt, J. (2014). Social networking as a learning tool: Nursing students' perception of efficacy. </w:t>
      </w:r>
      <w:r w:rsidRPr="00025892">
        <w:rPr>
          <w:i/>
          <w:iCs/>
          <w:color w:val="000000" w:themeColor="text1"/>
        </w:rPr>
        <w:t>Nurse Education Today, 34</w:t>
      </w:r>
      <w:r w:rsidRPr="00025892">
        <w:rPr>
          <w:color w:val="000000" w:themeColor="text1"/>
        </w:rPr>
        <w:t xml:space="preserve">, 1012–1017. </w:t>
      </w:r>
    </w:p>
    <w:p w14:paraId="1BAD7058" w14:textId="170CF64C" w:rsidR="001F1039" w:rsidRPr="0090305A" w:rsidRDefault="001F1039" w:rsidP="0090305A">
      <w:pPr>
        <w:pStyle w:val="bibliografa"/>
        <w:spacing w:before="0" w:beforeAutospacing="0" w:after="0" w:afterAutospacing="0"/>
        <w:ind w:left="720" w:hanging="720"/>
        <w:rPr>
          <w:color w:val="000000" w:themeColor="text1"/>
        </w:rPr>
      </w:pPr>
      <w:r w:rsidRPr="0090305A">
        <w:rPr>
          <w:color w:val="000000" w:themeColor="text1"/>
        </w:rPr>
        <w:t xml:space="preserve">Vercic, D., &amp; Zerfass, A. (2016). A comparative excellence framework for communication management. </w:t>
      </w:r>
      <w:r w:rsidRPr="0090305A">
        <w:rPr>
          <w:i/>
          <w:color w:val="000000" w:themeColor="text1"/>
        </w:rPr>
        <w:t>Journal of Communication Management, 20</w:t>
      </w:r>
      <w:r w:rsidRPr="0090305A">
        <w:rPr>
          <w:color w:val="000000" w:themeColor="text1"/>
        </w:rPr>
        <w:t>(4), 270-288.</w:t>
      </w:r>
    </w:p>
    <w:p w14:paraId="00982B2C" w14:textId="35B55F77" w:rsidR="004E0210" w:rsidRPr="0090305A" w:rsidRDefault="004E0210" w:rsidP="0090305A">
      <w:pPr>
        <w:pStyle w:val="bibliografa"/>
        <w:spacing w:before="0" w:beforeAutospacing="0" w:after="0" w:afterAutospacing="0"/>
        <w:ind w:left="720" w:hanging="720"/>
        <w:rPr>
          <w:color w:val="000000" w:themeColor="text1"/>
        </w:rPr>
      </w:pPr>
      <w:r w:rsidRPr="0090305A">
        <w:rPr>
          <w:color w:val="000000" w:themeColor="text1"/>
        </w:rPr>
        <w:t xml:space="preserve">Wagnild, G. (2003). Resilience and successful aging: Comparison among </w:t>
      </w:r>
      <w:r w:rsidR="00800ED4" w:rsidRPr="00800ED4">
        <w:rPr>
          <w:color w:val="000000" w:themeColor="text1"/>
        </w:rPr>
        <w:t>low- and high-income</w:t>
      </w:r>
      <w:r w:rsidRPr="0090305A">
        <w:rPr>
          <w:color w:val="000000" w:themeColor="text1"/>
        </w:rPr>
        <w:t xml:space="preserve"> older adults. </w:t>
      </w:r>
      <w:r w:rsidRPr="0090305A">
        <w:rPr>
          <w:i/>
          <w:color w:val="000000" w:themeColor="text1"/>
        </w:rPr>
        <w:t>Journal of gerontological nursing, 29</w:t>
      </w:r>
      <w:r w:rsidRPr="0090305A">
        <w:rPr>
          <w:color w:val="000000" w:themeColor="text1"/>
        </w:rPr>
        <w:t>(12), 42-49.</w:t>
      </w:r>
    </w:p>
    <w:p w14:paraId="68BCEFA1" w14:textId="77777777" w:rsidR="004E0210" w:rsidRPr="0090305A" w:rsidRDefault="004E0210" w:rsidP="0090305A">
      <w:pPr>
        <w:pStyle w:val="bibliografa"/>
        <w:spacing w:before="0" w:beforeAutospacing="0" w:after="0" w:afterAutospacing="0"/>
        <w:ind w:left="720" w:hanging="720"/>
        <w:rPr>
          <w:color w:val="000000" w:themeColor="text1"/>
        </w:rPr>
      </w:pPr>
      <w:r w:rsidRPr="0090305A">
        <w:rPr>
          <w:color w:val="000000" w:themeColor="text1"/>
        </w:rPr>
        <w:t>Wells, M. (2009). Resilience in rural community</w:t>
      </w:r>
      <w:r w:rsidRPr="0090305A">
        <w:rPr>
          <w:rFonts w:ascii="Calibri" w:eastAsia="Calibri" w:hAnsi="Calibri" w:cs="Calibri"/>
          <w:color w:val="000000" w:themeColor="text1"/>
        </w:rPr>
        <w:t>‐</w:t>
      </w:r>
      <w:r w:rsidRPr="0090305A">
        <w:rPr>
          <w:color w:val="000000" w:themeColor="text1"/>
        </w:rPr>
        <w:t xml:space="preserve">dwelling older adults. </w:t>
      </w:r>
      <w:r w:rsidRPr="0090305A">
        <w:rPr>
          <w:i/>
          <w:color w:val="000000" w:themeColor="text1"/>
        </w:rPr>
        <w:t>The Journal of Rural Health, 25</w:t>
      </w:r>
      <w:r w:rsidRPr="0090305A">
        <w:rPr>
          <w:color w:val="000000" w:themeColor="text1"/>
        </w:rPr>
        <w:t>(4), 415-419.</w:t>
      </w:r>
    </w:p>
    <w:p w14:paraId="0716E372" w14:textId="2EFE98F5" w:rsidR="008E1B82" w:rsidRPr="0090305A" w:rsidRDefault="008E1B82" w:rsidP="0090305A">
      <w:pPr>
        <w:pStyle w:val="bibliografa"/>
        <w:spacing w:before="0" w:beforeAutospacing="0" w:after="0" w:afterAutospacing="0"/>
        <w:ind w:left="720" w:hanging="720"/>
        <w:rPr>
          <w:color w:val="000000" w:themeColor="text1"/>
        </w:rPr>
      </w:pPr>
      <w:r w:rsidRPr="0090305A">
        <w:rPr>
          <w:color w:val="000000" w:themeColor="text1"/>
        </w:rPr>
        <w:t xml:space="preserve">Werner, E. E. (1993). Risk, resilience, and recovery: Perspectives from the Kauai Longitudinal Study. </w:t>
      </w:r>
      <w:r w:rsidRPr="0090305A">
        <w:rPr>
          <w:i/>
          <w:color w:val="000000" w:themeColor="text1"/>
        </w:rPr>
        <w:t>Development and psychopathology, 5</w:t>
      </w:r>
      <w:r w:rsidRPr="0090305A">
        <w:rPr>
          <w:color w:val="000000" w:themeColor="text1"/>
        </w:rPr>
        <w:t>(4), 503-515.</w:t>
      </w:r>
    </w:p>
    <w:p w14:paraId="3341D99E" w14:textId="77777777" w:rsidR="004E0210" w:rsidRPr="0090305A" w:rsidRDefault="004E0210" w:rsidP="0090305A">
      <w:pPr>
        <w:pStyle w:val="bibliografa"/>
        <w:spacing w:before="0" w:beforeAutospacing="0" w:after="0" w:afterAutospacing="0"/>
        <w:ind w:left="720" w:hanging="720"/>
        <w:rPr>
          <w:color w:val="000000" w:themeColor="text1"/>
        </w:rPr>
      </w:pPr>
      <w:r w:rsidRPr="0090305A">
        <w:rPr>
          <w:color w:val="000000" w:themeColor="text1"/>
        </w:rPr>
        <w:t xml:space="preserve">Wilson, G. A. (2018). “Constructive tensions” in resilience research: Critical reflections from a human geography perspective. </w:t>
      </w:r>
      <w:r w:rsidRPr="0090305A">
        <w:rPr>
          <w:i/>
          <w:color w:val="000000" w:themeColor="text1"/>
        </w:rPr>
        <w:t>The Geographical Journal, 184</w:t>
      </w:r>
      <w:r w:rsidRPr="0090305A">
        <w:rPr>
          <w:color w:val="000000" w:themeColor="text1"/>
        </w:rPr>
        <w:t>(1), 89-99.</w:t>
      </w:r>
    </w:p>
    <w:p w14:paraId="25956A1C" w14:textId="213077B3" w:rsidR="004E0210" w:rsidRPr="0090305A" w:rsidRDefault="004E0210" w:rsidP="0090305A">
      <w:pPr>
        <w:pStyle w:val="bibliografa"/>
        <w:spacing w:before="0" w:beforeAutospacing="0" w:after="0" w:afterAutospacing="0"/>
        <w:ind w:left="720" w:hanging="720"/>
        <w:rPr>
          <w:color w:val="000000" w:themeColor="text1"/>
        </w:rPr>
      </w:pPr>
      <w:r w:rsidRPr="0090305A">
        <w:rPr>
          <w:color w:val="000000" w:themeColor="text1"/>
        </w:rPr>
        <w:t xml:space="preserve">Windle G., Bennett K. M., &amp; Noyes J. (2011). A methodological review of resilience measurement scales. </w:t>
      </w:r>
      <w:r w:rsidRPr="0090305A">
        <w:rPr>
          <w:i/>
          <w:color w:val="000000" w:themeColor="text1"/>
        </w:rPr>
        <w:t>Health Qual Life Outcomes, 9</w:t>
      </w:r>
      <w:r w:rsidRPr="0090305A">
        <w:rPr>
          <w:color w:val="000000" w:themeColor="text1"/>
        </w:rPr>
        <w:t>, 8. doi: 10.1186/1477-7525-9-8</w:t>
      </w:r>
    </w:p>
    <w:p w14:paraId="3120428B" w14:textId="1DAB3AB7" w:rsidR="00F53075" w:rsidRPr="0090305A" w:rsidRDefault="00F53075" w:rsidP="0090305A">
      <w:pPr>
        <w:pStyle w:val="bibliografa"/>
        <w:spacing w:before="0" w:beforeAutospacing="0" w:after="0" w:afterAutospacing="0"/>
        <w:ind w:left="720" w:hanging="720"/>
        <w:rPr>
          <w:color w:val="000000" w:themeColor="text1"/>
        </w:rPr>
      </w:pPr>
      <w:r w:rsidRPr="0090305A">
        <w:rPr>
          <w:color w:val="000000" w:themeColor="text1"/>
        </w:rPr>
        <w:t xml:space="preserve">Yu, X., &amp; Zhang, J. (2007). Factor analysis and psychometric evaluation of the Connor-Davidson Resilience Scale (CD-RISC) with Chinese people. </w:t>
      </w:r>
      <w:r w:rsidRPr="0090305A">
        <w:rPr>
          <w:i/>
          <w:color w:val="000000" w:themeColor="text1"/>
        </w:rPr>
        <w:t>Social Behavior and Personality: an international journal, 35</w:t>
      </w:r>
      <w:r w:rsidRPr="0090305A">
        <w:rPr>
          <w:color w:val="000000" w:themeColor="text1"/>
        </w:rPr>
        <w:t>(1), 19-30.</w:t>
      </w:r>
    </w:p>
    <w:p w14:paraId="2A879D6B" w14:textId="4DD613B9" w:rsidR="00671AD7" w:rsidRDefault="00671AD7" w:rsidP="00CA06A3">
      <w:pPr>
        <w:pStyle w:val="bibliografa"/>
        <w:spacing w:before="0" w:beforeAutospacing="0" w:after="0" w:afterAutospacing="0"/>
        <w:ind w:left="720" w:hanging="720"/>
        <w:rPr>
          <w:color w:val="000000" w:themeColor="text1"/>
        </w:rPr>
      </w:pPr>
      <w:r w:rsidRPr="0090305A">
        <w:rPr>
          <w:color w:val="000000" w:themeColor="text1"/>
        </w:rPr>
        <w:t xml:space="preserve">Zerfass, A., Tench, R., Verčič, D., Verhoeven, P., &amp; Moreno, A. (2014). </w:t>
      </w:r>
      <w:r w:rsidRPr="0090305A">
        <w:rPr>
          <w:i/>
          <w:color w:val="000000" w:themeColor="text1"/>
        </w:rPr>
        <w:t>European Communication Monitor 2014. Excellence in Strategic Communication – Key Issues, Leadership, Gender and Mobile Media. Results of a Survey in 42 Countries.</w:t>
      </w:r>
      <w:r w:rsidRPr="0090305A">
        <w:rPr>
          <w:color w:val="000000" w:themeColor="text1"/>
        </w:rPr>
        <w:t xml:space="preserve"> Brussels: EACD/EUPRERA, Helios Media.</w:t>
      </w:r>
    </w:p>
    <w:p w14:paraId="28BF7301" w14:textId="3F21DD69" w:rsidR="00CA06A3" w:rsidRPr="0090305A" w:rsidRDefault="00CA06A3" w:rsidP="0090305A">
      <w:pPr>
        <w:pStyle w:val="bibliografa"/>
        <w:spacing w:before="0" w:beforeAutospacing="0" w:after="0" w:afterAutospacing="0"/>
        <w:ind w:left="720" w:hanging="720"/>
        <w:rPr>
          <w:color w:val="000000" w:themeColor="text1"/>
        </w:rPr>
      </w:pPr>
      <w:r w:rsidRPr="00CA06A3">
        <w:rPr>
          <w:color w:val="000000" w:themeColor="text1"/>
        </w:rPr>
        <w:lastRenderedPageBreak/>
        <w:t>Zerfass, A., Verhoeven, P., Moreno, A., Tench, R., &amp; Verčič, D. (2016).</w:t>
      </w:r>
      <w:r>
        <w:rPr>
          <w:color w:val="000000" w:themeColor="text1"/>
        </w:rPr>
        <w:t xml:space="preserve"> </w:t>
      </w:r>
      <w:r w:rsidRPr="0090305A">
        <w:rPr>
          <w:i/>
          <w:iCs/>
          <w:color w:val="000000" w:themeColor="text1"/>
        </w:rPr>
        <w:t>Europe Communication Monitor 2016. Exploring trends in big data, stakeholder engagement and strategic communication. Results of a survey in 43 Countries</w:t>
      </w:r>
      <w:r w:rsidRPr="00CA06A3">
        <w:rPr>
          <w:color w:val="000000" w:themeColor="text1"/>
        </w:rPr>
        <w:t>. Brussels: EACD/EUPRERA, Quadriga Media Berlin.</w:t>
      </w:r>
    </w:p>
    <w:p w14:paraId="5ECFB233" w14:textId="77777777" w:rsidR="004E0210" w:rsidRPr="0090305A" w:rsidRDefault="004E0210" w:rsidP="0090305A">
      <w:pPr>
        <w:pStyle w:val="bibliografa"/>
        <w:spacing w:before="0" w:beforeAutospacing="0" w:after="0" w:afterAutospacing="0"/>
        <w:ind w:left="720" w:hanging="720"/>
        <w:rPr>
          <w:color w:val="000000" w:themeColor="text1"/>
        </w:rPr>
      </w:pPr>
      <w:r w:rsidRPr="0090305A">
        <w:rPr>
          <w:color w:val="000000" w:themeColor="text1"/>
        </w:rPr>
        <w:t xml:space="preserve">Zerfass, A., Tench, R., Verhoeven, P., Verčič, D., &amp; Moreno, A. (2018). </w:t>
      </w:r>
      <w:r w:rsidRPr="0090305A">
        <w:rPr>
          <w:i/>
          <w:iCs/>
          <w:color w:val="000000" w:themeColor="text1"/>
        </w:rPr>
        <w:t>European Communication Monitor 2018. Strategic communication and the challenges of fake news, trust, leadership, work stress and job satisfaction. Results of a survey in 48 countries.</w:t>
      </w:r>
      <w:r w:rsidRPr="0090305A">
        <w:rPr>
          <w:color w:val="000000" w:themeColor="text1"/>
        </w:rPr>
        <w:t xml:space="preserve"> Brussels: EACD/EUPRERA, Quadriga Media Berlin.</w:t>
      </w:r>
    </w:p>
    <w:p w14:paraId="15FA3ED6" w14:textId="77777777" w:rsidR="00701FB0" w:rsidRPr="0090305A" w:rsidRDefault="00701FB0" w:rsidP="0090305A">
      <w:pPr>
        <w:pStyle w:val="bibliografa"/>
        <w:spacing w:before="0" w:beforeAutospacing="0" w:after="0" w:afterAutospacing="0"/>
        <w:ind w:left="720" w:hanging="720"/>
        <w:rPr>
          <w:color w:val="000000" w:themeColor="text1"/>
        </w:rPr>
      </w:pPr>
    </w:p>
    <w:sectPr w:rsidR="00701FB0" w:rsidRPr="0090305A" w:rsidSect="0085637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18"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70B40" w14:textId="77777777" w:rsidR="00EE7C11" w:rsidRDefault="00EE7C11">
      <w:r>
        <w:separator/>
      </w:r>
    </w:p>
  </w:endnote>
  <w:endnote w:type="continuationSeparator" w:id="0">
    <w:p w14:paraId="4C6C78AF" w14:textId="77777777" w:rsidR="00EE7C11" w:rsidRDefault="00EE7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65A8" w14:textId="77777777" w:rsidR="007E1E8F" w:rsidRDefault="007E1E8F" w:rsidP="009C2C3D">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DCBBE9E" w14:textId="77777777" w:rsidR="007E1E8F" w:rsidRDefault="007E1E8F" w:rsidP="00B23F8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095432619"/>
      <w:docPartObj>
        <w:docPartGallery w:val="Page Numbers (Bottom of Page)"/>
        <w:docPartUnique/>
      </w:docPartObj>
    </w:sdtPr>
    <w:sdtContent>
      <w:p w14:paraId="4EB78C5B" w14:textId="67FF1D01" w:rsidR="007E1E8F" w:rsidRDefault="007E1E8F" w:rsidP="009C2C3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sdtContent>
  </w:sdt>
  <w:p w14:paraId="6F669D90" w14:textId="77777777" w:rsidR="007E1E8F" w:rsidRDefault="007E1E8F" w:rsidP="009C2C3D">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D9A51" w14:textId="77777777" w:rsidR="007E1E8F" w:rsidRDefault="007E1E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12B1D" w14:textId="77777777" w:rsidR="00EE7C11" w:rsidRDefault="00EE7C11">
      <w:r>
        <w:separator/>
      </w:r>
    </w:p>
  </w:footnote>
  <w:footnote w:type="continuationSeparator" w:id="0">
    <w:p w14:paraId="1B94FD57" w14:textId="77777777" w:rsidR="00EE7C11" w:rsidRDefault="00EE7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37FE3" w14:textId="77777777" w:rsidR="007E1E8F" w:rsidRDefault="007E1E8F" w:rsidP="00665790">
    <w:pPr>
      <w:pStyle w:val="Encabezad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25E1B62" w14:textId="77777777" w:rsidR="007E1E8F" w:rsidRDefault="007E1E8F" w:rsidP="00B23F82">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F38B0" w14:textId="2E2760B5" w:rsidR="007E1E8F" w:rsidRPr="006910F0" w:rsidRDefault="007E1E8F" w:rsidP="00AB27FB">
    <w:pPr>
      <w:pStyle w:val="Normal1"/>
      <w:tabs>
        <w:tab w:val="center" w:pos="4680"/>
        <w:tab w:val="right" w:pos="9360"/>
      </w:tabs>
      <w:spacing w:before="720" w:after="600" w:line="240" w:lineRule="auto"/>
      <w:rPr>
        <w:rFonts w:ascii="Times New Roman" w:hAnsi="Times New Roman"/>
        <w:spacing w:val="-2"/>
        <w:sz w:val="24"/>
        <w:szCs w:val="24"/>
      </w:rPr>
    </w:pPr>
    <w:r w:rsidRPr="00AB27FB">
      <w:rPr>
        <w:rFonts w:ascii="Times New Roman" w:eastAsia="Times New Roman" w:hAnsi="Times New Roman" w:cs="Times New Roman"/>
        <w:spacing w:val="-2"/>
        <w:sz w:val="24"/>
        <w:szCs w:val="24"/>
        <w:lang w:val="es-ES_tradnl"/>
      </w:rPr>
      <w:t>RESILIENCE IN COMMUNICATION MANAGEMENT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79897" w14:textId="77777777" w:rsidR="007E1E8F" w:rsidRDefault="007E1E8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92590"/>
    <w:multiLevelType w:val="hybridMultilevel"/>
    <w:tmpl w:val="76369BC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15:restartNumberingAfterBreak="0">
    <w:nsid w:val="1C34375B"/>
    <w:multiLevelType w:val="hybridMultilevel"/>
    <w:tmpl w:val="C768686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E9C0B2E"/>
    <w:multiLevelType w:val="multilevel"/>
    <w:tmpl w:val="498A9C36"/>
    <w:lvl w:ilvl="0">
      <w:start w:val="1"/>
      <w:numFmt w:val="bullet"/>
      <w:lvlText w:val="●"/>
      <w:lvlJc w:val="left"/>
      <w:pPr>
        <w:ind w:left="708" w:firstLine="348"/>
      </w:pPr>
      <w:rPr>
        <w:rFonts w:ascii="Arial" w:eastAsia="Arial" w:hAnsi="Arial" w:cs="Arial"/>
      </w:rPr>
    </w:lvl>
    <w:lvl w:ilvl="1">
      <w:start w:val="1"/>
      <w:numFmt w:val="bullet"/>
      <w:lvlText w:val="o"/>
      <w:lvlJc w:val="left"/>
      <w:pPr>
        <w:ind w:left="1428" w:firstLine="1068"/>
      </w:pPr>
      <w:rPr>
        <w:rFonts w:ascii="Arial" w:eastAsia="Arial" w:hAnsi="Arial" w:cs="Arial"/>
      </w:rPr>
    </w:lvl>
    <w:lvl w:ilvl="2">
      <w:start w:val="1"/>
      <w:numFmt w:val="bullet"/>
      <w:lvlText w:val="▪"/>
      <w:lvlJc w:val="left"/>
      <w:pPr>
        <w:ind w:left="2148" w:firstLine="1788"/>
      </w:pPr>
      <w:rPr>
        <w:rFonts w:ascii="Arial" w:eastAsia="Arial" w:hAnsi="Arial" w:cs="Arial"/>
      </w:rPr>
    </w:lvl>
    <w:lvl w:ilvl="3">
      <w:start w:val="1"/>
      <w:numFmt w:val="bullet"/>
      <w:lvlText w:val="●"/>
      <w:lvlJc w:val="left"/>
      <w:pPr>
        <w:ind w:left="2868" w:firstLine="2508"/>
      </w:pPr>
      <w:rPr>
        <w:rFonts w:ascii="Arial" w:eastAsia="Arial" w:hAnsi="Arial" w:cs="Arial"/>
      </w:rPr>
    </w:lvl>
    <w:lvl w:ilvl="4">
      <w:start w:val="1"/>
      <w:numFmt w:val="bullet"/>
      <w:lvlText w:val="o"/>
      <w:lvlJc w:val="left"/>
      <w:pPr>
        <w:ind w:left="3588" w:firstLine="3228"/>
      </w:pPr>
      <w:rPr>
        <w:rFonts w:ascii="Arial" w:eastAsia="Arial" w:hAnsi="Arial" w:cs="Arial"/>
      </w:rPr>
    </w:lvl>
    <w:lvl w:ilvl="5">
      <w:start w:val="1"/>
      <w:numFmt w:val="bullet"/>
      <w:lvlText w:val="▪"/>
      <w:lvlJc w:val="left"/>
      <w:pPr>
        <w:ind w:left="4308" w:firstLine="3948"/>
      </w:pPr>
      <w:rPr>
        <w:rFonts w:ascii="Arial" w:eastAsia="Arial" w:hAnsi="Arial" w:cs="Arial"/>
      </w:rPr>
    </w:lvl>
    <w:lvl w:ilvl="6">
      <w:start w:val="1"/>
      <w:numFmt w:val="bullet"/>
      <w:lvlText w:val="●"/>
      <w:lvlJc w:val="left"/>
      <w:pPr>
        <w:ind w:left="5028" w:firstLine="4668"/>
      </w:pPr>
      <w:rPr>
        <w:rFonts w:ascii="Arial" w:eastAsia="Arial" w:hAnsi="Arial" w:cs="Arial"/>
      </w:rPr>
    </w:lvl>
    <w:lvl w:ilvl="7">
      <w:start w:val="1"/>
      <w:numFmt w:val="bullet"/>
      <w:lvlText w:val="o"/>
      <w:lvlJc w:val="left"/>
      <w:pPr>
        <w:ind w:left="5748" w:firstLine="5388"/>
      </w:pPr>
      <w:rPr>
        <w:rFonts w:ascii="Arial" w:eastAsia="Arial" w:hAnsi="Arial" w:cs="Arial"/>
      </w:rPr>
    </w:lvl>
    <w:lvl w:ilvl="8">
      <w:start w:val="1"/>
      <w:numFmt w:val="bullet"/>
      <w:lvlText w:val="▪"/>
      <w:lvlJc w:val="left"/>
      <w:pPr>
        <w:ind w:left="6468" w:firstLine="6108"/>
      </w:pPr>
      <w:rPr>
        <w:rFonts w:ascii="Arial" w:eastAsia="Arial" w:hAnsi="Arial" w:cs="Arial"/>
      </w:rPr>
    </w:lvl>
  </w:abstractNum>
  <w:abstractNum w:abstractNumId="3" w15:restartNumberingAfterBreak="0">
    <w:nsid w:val="1FA35BB5"/>
    <w:multiLevelType w:val="multilevel"/>
    <w:tmpl w:val="03C042D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4" w15:restartNumberingAfterBreak="0">
    <w:nsid w:val="2E220799"/>
    <w:multiLevelType w:val="hybridMultilevel"/>
    <w:tmpl w:val="682E35F4"/>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num w:numId="1" w16cid:durableId="941454912">
    <w:abstractNumId w:val="2"/>
  </w:num>
  <w:num w:numId="2" w16cid:durableId="6686772">
    <w:abstractNumId w:val="3"/>
  </w:num>
  <w:num w:numId="3" w16cid:durableId="1858539602">
    <w:abstractNumId w:val="1"/>
  </w:num>
  <w:num w:numId="4" w16cid:durableId="1155413913">
    <w:abstractNumId w:val="4"/>
  </w:num>
  <w:num w:numId="5" w16cid:durableId="1586645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FB0"/>
    <w:rsid w:val="00002DB0"/>
    <w:rsid w:val="00003E02"/>
    <w:rsid w:val="00004A1D"/>
    <w:rsid w:val="00004B12"/>
    <w:rsid w:val="00005527"/>
    <w:rsid w:val="0001310C"/>
    <w:rsid w:val="00014EDF"/>
    <w:rsid w:val="0002018C"/>
    <w:rsid w:val="0002063E"/>
    <w:rsid w:val="000221F7"/>
    <w:rsid w:val="00022AE6"/>
    <w:rsid w:val="000245CF"/>
    <w:rsid w:val="00024890"/>
    <w:rsid w:val="00025892"/>
    <w:rsid w:val="000260BC"/>
    <w:rsid w:val="00027F46"/>
    <w:rsid w:val="00030DDF"/>
    <w:rsid w:val="00031E9E"/>
    <w:rsid w:val="00031FFA"/>
    <w:rsid w:val="00032C5C"/>
    <w:rsid w:val="00032EBA"/>
    <w:rsid w:val="00033240"/>
    <w:rsid w:val="000340A7"/>
    <w:rsid w:val="00035195"/>
    <w:rsid w:val="00035D7F"/>
    <w:rsid w:val="00036EA0"/>
    <w:rsid w:val="000406D8"/>
    <w:rsid w:val="00041F83"/>
    <w:rsid w:val="0004245D"/>
    <w:rsid w:val="000435A9"/>
    <w:rsid w:val="000457AC"/>
    <w:rsid w:val="000474A8"/>
    <w:rsid w:val="00052573"/>
    <w:rsid w:val="000525CE"/>
    <w:rsid w:val="000549EA"/>
    <w:rsid w:val="00055F46"/>
    <w:rsid w:val="000563E9"/>
    <w:rsid w:val="00056FC6"/>
    <w:rsid w:val="000579E1"/>
    <w:rsid w:val="00057A8B"/>
    <w:rsid w:val="00062AEE"/>
    <w:rsid w:val="000633D2"/>
    <w:rsid w:val="0006392F"/>
    <w:rsid w:val="000672B2"/>
    <w:rsid w:val="00070CC6"/>
    <w:rsid w:val="000727C2"/>
    <w:rsid w:val="00073F36"/>
    <w:rsid w:val="00076DB0"/>
    <w:rsid w:val="00077D1F"/>
    <w:rsid w:val="000808FA"/>
    <w:rsid w:val="000815C2"/>
    <w:rsid w:val="000826DF"/>
    <w:rsid w:val="00084109"/>
    <w:rsid w:val="00084396"/>
    <w:rsid w:val="00085291"/>
    <w:rsid w:val="00086E10"/>
    <w:rsid w:val="00087E7E"/>
    <w:rsid w:val="000909EF"/>
    <w:rsid w:val="00090C9C"/>
    <w:rsid w:val="000912DB"/>
    <w:rsid w:val="000929A2"/>
    <w:rsid w:val="0009440A"/>
    <w:rsid w:val="000961FF"/>
    <w:rsid w:val="00096556"/>
    <w:rsid w:val="000A0BC8"/>
    <w:rsid w:val="000A1AAF"/>
    <w:rsid w:val="000A26A8"/>
    <w:rsid w:val="000A2B5E"/>
    <w:rsid w:val="000A3159"/>
    <w:rsid w:val="000A4727"/>
    <w:rsid w:val="000A74FB"/>
    <w:rsid w:val="000B3074"/>
    <w:rsid w:val="000B39B0"/>
    <w:rsid w:val="000B4125"/>
    <w:rsid w:val="000B7D22"/>
    <w:rsid w:val="000B7DAF"/>
    <w:rsid w:val="000B7EF0"/>
    <w:rsid w:val="000C17C3"/>
    <w:rsid w:val="000C1D8E"/>
    <w:rsid w:val="000C5927"/>
    <w:rsid w:val="000C6B12"/>
    <w:rsid w:val="000C73C7"/>
    <w:rsid w:val="000D0261"/>
    <w:rsid w:val="000D3178"/>
    <w:rsid w:val="000D49A2"/>
    <w:rsid w:val="000D6F04"/>
    <w:rsid w:val="000E0B34"/>
    <w:rsid w:val="000E0D53"/>
    <w:rsid w:val="000E1428"/>
    <w:rsid w:val="000E1F5E"/>
    <w:rsid w:val="000E2BA6"/>
    <w:rsid w:val="000E447D"/>
    <w:rsid w:val="000E522C"/>
    <w:rsid w:val="000E530C"/>
    <w:rsid w:val="000F0AA5"/>
    <w:rsid w:val="000F0CD1"/>
    <w:rsid w:val="000F2AE5"/>
    <w:rsid w:val="000F2ECF"/>
    <w:rsid w:val="000F3D5B"/>
    <w:rsid w:val="000F4569"/>
    <w:rsid w:val="000F5011"/>
    <w:rsid w:val="000F589E"/>
    <w:rsid w:val="000F5C30"/>
    <w:rsid w:val="000F63C3"/>
    <w:rsid w:val="000F70D1"/>
    <w:rsid w:val="000F7693"/>
    <w:rsid w:val="000F7DC3"/>
    <w:rsid w:val="000F7E52"/>
    <w:rsid w:val="0010198B"/>
    <w:rsid w:val="00101ED9"/>
    <w:rsid w:val="00102073"/>
    <w:rsid w:val="001043AE"/>
    <w:rsid w:val="001056A9"/>
    <w:rsid w:val="0010593D"/>
    <w:rsid w:val="001062A3"/>
    <w:rsid w:val="0011002C"/>
    <w:rsid w:val="0011229E"/>
    <w:rsid w:val="00112EBC"/>
    <w:rsid w:val="001160E0"/>
    <w:rsid w:val="0011677D"/>
    <w:rsid w:val="00122CD7"/>
    <w:rsid w:val="0012476B"/>
    <w:rsid w:val="00124940"/>
    <w:rsid w:val="00126506"/>
    <w:rsid w:val="00126600"/>
    <w:rsid w:val="001269A8"/>
    <w:rsid w:val="00126C28"/>
    <w:rsid w:val="001277A4"/>
    <w:rsid w:val="00130C44"/>
    <w:rsid w:val="00134BE0"/>
    <w:rsid w:val="00140083"/>
    <w:rsid w:val="001406BE"/>
    <w:rsid w:val="00141251"/>
    <w:rsid w:val="001415FC"/>
    <w:rsid w:val="0014169F"/>
    <w:rsid w:val="0014395A"/>
    <w:rsid w:val="00144BB7"/>
    <w:rsid w:val="001478B9"/>
    <w:rsid w:val="001510B7"/>
    <w:rsid w:val="00153048"/>
    <w:rsid w:val="001540F7"/>
    <w:rsid w:val="001546D1"/>
    <w:rsid w:val="0015590D"/>
    <w:rsid w:val="00156B5C"/>
    <w:rsid w:val="001576F2"/>
    <w:rsid w:val="00160559"/>
    <w:rsid w:val="00163F3F"/>
    <w:rsid w:val="00164A97"/>
    <w:rsid w:val="00167B20"/>
    <w:rsid w:val="00170816"/>
    <w:rsid w:val="00171967"/>
    <w:rsid w:val="00172B35"/>
    <w:rsid w:val="00174948"/>
    <w:rsid w:val="0017703D"/>
    <w:rsid w:val="00185660"/>
    <w:rsid w:val="0018705F"/>
    <w:rsid w:val="00192053"/>
    <w:rsid w:val="00197E3C"/>
    <w:rsid w:val="001A045A"/>
    <w:rsid w:val="001A3A37"/>
    <w:rsid w:val="001A7EE8"/>
    <w:rsid w:val="001B1B15"/>
    <w:rsid w:val="001B2A1B"/>
    <w:rsid w:val="001B2EFF"/>
    <w:rsid w:val="001B3950"/>
    <w:rsid w:val="001B411F"/>
    <w:rsid w:val="001B41CE"/>
    <w:rsid w:val="001B6221"/>
    <w:rsid w:val="001B63EA"/>
    <w:rsid w:val="001C12D1"/>
    <w:rsid w:val="001C5837"/>
    <w:rsid w:val="001C653E"/>
    <w:rsid w:val="001D388A"/>
    <w:rsid w:val="001D4661"/>
    <w:rsid w:val="001D4808"/>
    <w:rsid w:val="001D4DDE"/>
    <w:rsid w:val="001E1180"/>
    <w:rsid w:val="001E2DC6"/>
    <w:rsid w:val="001E4455"/>
    <w:rsid w:val="001E55AC"/>
    <w:rsid w:val="001E6681"/>
    <w:rsid w:val="001E71FF"/>
    <w:rsid w:val="001F001D"/>
    <w:rsid w:val="001F037D"/>
    <w:rsid w:val="001F1039"/>
    <w:rsid w:val="001F2694"/>
    <w:rsid w:val="001F5AF1"/>
    <w:rsid w:val="001F64E0"/>
    <w:rsid w:val="001F7790"/>
    <w:rsid w:val="0020741F"/>
    <w:rsid w:val="00210678"/>
    <w:rsid w:val="00210BCD"/>
    <w:rsid w:val="00210E6D"/>
    <w:rsid w:val="00212571"/>
    <w:rsid w:val="00212A03"/>
    <w:rsid w:val="0021558C"/>
    <w:rsid w:val="00220E5E"/>
    <w:rsid w:val="00221A97"/>
    <w:rsid w:val="00223B44"/>
    <w:rsid w:val="00223CB7"/>
    <w:rsid w:val="00224C64"/>
    <w:rsid w:val="00225842"/>
    <w:rsid w:val="002264F7"/>
    <w:rsid w:val="0023262D"/>
    <w:rsid w:val="00232FE4"/>
    <w:rsid w:val="00233476"/>
    <w:rsid w:val="002335F9"/>
    <w:rsid w:val="00233F76"/>
    <w:rsid w:val="0023402D"/>
    <w:rsid w:val="00234ED8"/>
    <w:rsid w:val="0024033C"/>
    <w:rsid w:val="00240843"/>
    <w:rsid w:val="00241938"/>
    <w:rsid w:val="00241E3C"/>
    <w:rsid w:val="00242675"/>
    <w:rsid w:val="0024339B"/>
    <w:rsid w:val="00243542"/>
    <w:rsid w:val="002438C9"/>
    <w:rsid w:val="00244BE0"/>
    <w:rsid w:val="002462D7"/>
    <w:rsid w:val="00247B2E"/>
    <w:rsid w:val="00250C87"/>
    <w:rsid w:val="002516F6"/>
    <w:rsid w:val="00251B23"/>
    <w:rsid w:val="00251C2D"/>
    <w:rsid w:val="0025383E"/>
    <w:rsid w:val="00253892"/>
    <w:rsid w:val="0025476F"/>
    <w:rsid w:val="00257D9B"/>
    <w:rsid w:val="0026036D"/>
    <w:rsid w:val="0026070C"/>
    <w:rsid w:val="002649B0"/>
    <w:rsid w:val="002657CA"/>
    <w:rsid w:val="00266EC0"/>
    <w:rsid w:val="00270D37"/>
    <w:rsid w:val="002719A7"/>
    <w:rsid w:val="0027285E"/>
    <w:rsid w:val="00273870"/>
    <w:rsid w:val="002754AC"/>
    <w:rsid w:val="00276475"/>
    <w:rsid w:val="00280ECE"/>
    <w:rsid w:val="0028271B"/>
    <w:rsid w:val="002846FC"/>
    <w:rsid w:val="00284A30"/>
    <w:rsid w:val="00285ED4"/>
    <w:rsid w:val="002912A6"/>
    <w:rsid w:val="00292776"/>
    <w:rsid w:val="00293CCB"/>
    <w:rsid w:val="00295E9D"/>
    <w:rsid w:val="00297181"/>
    <w:rsid w:val="002971E6"/>
    <w:rsid w:val="002972D0"/>
    <w:rsid w:val="002A39DA"/>
    <w:rsid w:val="002A4149"/>
    <w:rsid w:val="002A5BE6"/>
    <w:rsid w:val="002A6595"/>
    <w:rsid w:val="002B053E"/>
    <w:rsid w:val="002B2AD9"/>
    <w:rsid w:val="002B30C5"/>
    <w:rsid w:val="002B3152"/>
    <w:rsid w:val="002B42CA"/>
    <w:rsid w:val="002B578E"/>
    <w:rsid w:val="002B7A50"/>
    <w:rsid w:val="002C0A7E"/>
    <w:rsid w:val="002C1111"/>
    <w:rsid w:val="002C4694"/>
    <w:rsid w:val="002C4AEF"/>
    <w:rsid w:val="002C4EE1"/>
    <w:rsid w:val="002C6E68"/>
    <w:rsid w:val="002C7C0D"/>
    <w:rsid w:val="002D0314"/>
    <w:rsid w:val="002D1285"/>
    <w:rsid w:val="002D2CB6"/>
    <w:rsid w:val="002D2E47"/>
    <w:rsid w:val="002D4043"/>
    <w:rsid w:val="002D67B7"/>
    <w:rsid w:val="002D6F68"/>
    <w:rsid w:val="002E1DBC"/>
    <w:rsid w:val="002E2F2F"/>
    <w:rsid w:val="002E3500"/>
    <w:rsid w:val="002E5F34"/>
    <w:rsid w:val="002E6EFE"/>
    <w:rsid w:val="002F0A9E"/>
    <w:rsid w:val="002F0D27"/>
    <w:rsid w:val="002F1C60"/>
    <w:rsid w:val="002F273A"/>
    <w:rsid w:val="002F291E"/>
    <w:rsid w:val="002F3AC5"/>
    <w:rsid w:val="002F4E32"/>
    <w:rsid w:val="002F59CC"/>
    <w:rsid w:val="002F7F3E"/>
    <w:rsid w:val="003000F8"/>
    <w:rsid w:val="00303DCD"/>
    <w:rsid w:val="00306EE5"/>
    <w:rsid w:val="00307274"/>
    <w:rsid w:val="00307CF1"/>
    <w:rsid w:val="00310AFE"/>
    <w:rsid w:val="00311A46"/>
    <w:rsid w:val="00312339"/>
    <w:rsid w:val="00312DB6"/>
    <w:rsid w:val="00315FF3"/>
    <w:rsid w:val="00317671"/>
    <w:rsid w:val="003212D1"/>
    <w:rsid w:val="003212E2"/>
    <w:rsid w:val="0032134F"/>
    <w:rsid w:val="00323DFD"/>
    <w:rsid w:val="00325A86"/>
    <w:rsid w:val="00332B39"/>
    <w:rsid w:val="00333D22"/>
    <w:rsid w:val="003358D3"/>
    <w:rsid w:val="003361C4"/>
    <w:rsid w:val="003361D3"/>
    <w:rsid w:val="0033715A"/>
    <w:rsid w:val="003376CE"/>
    <w:rsid w:val="00342070"/>
    <w:rsid w:val="00351233"/>
    <w:rsid w:val="00352DD2"/>
    <w:rsid w:val="00353527"/>
    <w:rsid w:val="00354418"/>
    <w:rsid w:val="00355BFB"/>
    <w:rsid w:val="003573DD"/>
    <w:rsid w:val="00360C0B"/>
    <w:rsid w:val="00360D2E"/>
    <w:rsid w:val="00367548"/>
    <w:rsid w:val="003711ED"/>
    <w:rsid w:val="0037365D"/>
    <w:rsid w:val="00374089"/>
    <w:rsid w:val="00375240"/>
    <w:rsid w:val="00375411"/>
    <w:rsid w:val="003756B1"/>
    <w:rsid w:val="00375DEE"/>
    <w:rsid w:val="0037691D"/>
    <w:rsid w:val="003805A9"/>
    <w:rsid w:val="003818E3"/>
    <w:rsid w:val="00381DE4"/>
    <w:rsid w:val="00384507"/>
    <w:rsid w:val="00393D5D"/>
    <w:rsid w:val="00396E7A"/>
    <w:rsid w:val="00396F6D"/>
    <w:rsid w:val="00397DAF"/>
    <w:rsid w:val="003A0BAF"/>
    <w:rsid w:val="003A1A00"/>
    <w:rsid w:val="003A2AA3"/>
    <w:rsid w:val="003A2DFF"/>
    <w:rsid w:val="003A3DF8"/>
    <w:rsid w:val="003A4004"/>
    <w:rsid w:val="003A461E"/>
    <w:rsid w:val="003A5216"/>
    <w:rsid w:val="003A52DE"/>
    <w:rsid w:val="003A5926"/>
    <w:rsid w:val="003A7D86"/>
    <w:rsid w:val="003B02CF"/>
    <w:rsid w:val="003B33DD"/>
    <w:rsid w:val="003B4ABB"/>
    <w:rsid w:val="003B5A13"/>
    <w:rsid w:val="003B7681"/>
    <w:rsid w:val="003B77B1"/>
    <w:rsid w:val="003C096B"/>
    <w:rsid w:val="003C3737"/>
    <w:rsid w:val="003C462E"/>
    <w:rsid w:val="003C4909"/>
    <w:rsid w:val="003C5617"/>
    <w:rsid w:val="003D00BE"/>
    <w:rsid w:val="003D1A95"/>
    <w:rsid w:val="003D1AC8"/>
    <w:rsid w:val="003D33C9"/>
    <w:rsid w:val="003D43DA"/>
    <w:rsid w:val="003D486B"/>
    <w:rsid w:val="003D69CD"/>
    <w:rsid w:val="003D73B7"/>
    <w:rsid w:val="003E0697"/>
    <w:rsid w:val="003E0DFC"/>
    <w:rsid w:val="003E1545"/>
    <w:rsid w:val="003E2C2B"/>
    <w:rsid w:val="003E3E23"/>
    <w:rsid w:val="003E4E3C"/>
    <w:rsid w:val="003E53AF"/>
    <w:rsid w:val="003E54F6"/>
    <w:rsid w:val="003E6F29"/>
    <w:rsid w:val="003F09F3"/>
    <w:rsid w:val="003F2E43"/>
    <w:rsid w:val="003F2FFA"/>
    <w:rsid w:val="003F5032"/>
    <w:rsid w:val="003F5FD9"/>
    <w:rsid w:val="00402E29"/>
    <w:rsid w:val="00403864"/>
    <w:rsid w:val="00406217"/>
    <w:rsid w:val="004074FC"/>
    <w:rsid w:val="00411006"/>
    <w:rsid w:val="00414940"/>
    <w:rsid w:val="00417D94"/>
    <w:rsid w:val="004203B5"/>
    <w:rsid w:val="0042246D"/>
    <w:rsid w:val="00422575"/>
    <w:rsid w:val="00423024"/>
    <w:rsid w:val="00423761"/>
    <w:rsid w:val="0042507C"/>
    <w:rsid w:val="00431ED7"/>
    <w:rsid w:val="00434352"/>
    <w:rsid w:val="00434B31"/>
    <w:rsid w:val="004351D5"/>
    <w:rsid w:val="00436582"/>
    <w:rsid w:val="004502FD"/>
    <w:rsid w:val="00452112"/>
    <w:rsid w:val="00453613"/>
    <w:rsid w:val="00456AE6"/>
    <w:rsid w:val="00457BB8"/>
    <w:rsid w:val="0046070A"/>
    <w:rsid w:val="00464D58"/>
    <w:rsid w:val="00465F57"/>
    <w:rsid w:val="00466BEF"/>
    <w:rsid w:val="00467036"/>
    <w:rsid w:val="00471012"/>
    <w:rsid w:val="00475FCB"/>
    <w:rsid w:val="0047728C"/>
    <w:rsid w:val="0048094A"/>
    <w:rsid w:val="0048350D"/>
    <w:rsid w:val="00484502"/>
    <w:rsid w:val="00485A26"/>
    <w:rsid w:val="004915CE"/>
    <w:rsid w:val="00492907"/>
    <w:rsid w:val="00494E85"/>
    <w:rsid w:val="00495841"/>
    <w:rsid w:val="00496401"/>
    <w:rsid w:val="004A4617"/>
    <w:rsid w:val="004A62C4"/>
    <w:rsid w:val="004B04EC"/>
    <w:rsid w:val="004B063E"/>
    <w:rsid w:val="004B0899"/>
    <w:rsid w:val="004B1803"/>
    <w:rsid w:val="004B2801"/>
    <w:rsid w:val="004B2D83"/>
    <w:rsid w:val="004B37CC"/>
    <w:rsid w:val="004B58DA"/>
    <w:rsid w:val="004C063D"/>
    <w:rsid w:val="004C079D"/>
    <w:rsid w:val="004C1E42"/>
    <w:rsid w:val="004C2778"/>
    <w:rsid w:val="004C38F2"/>
    <w:rsid w:val="004C5C47"/>
    <w:rsid w:val="004C618F"/>
    <w:rsid w:val="004C7506"/>
    <w:rsid w:val="004D0209"/>
    <w:rsid w:val="004D0D6E"/>
    <w:rsid w:val="004D2888"/>
    <w:rsid w:val="004D33E2"/>
    <w:rsid w:val="004D3DBD"/>
    <w:rsid w:val="004D7DFE"/>
    <w:rsid w:val="004E0210"/>
    <w:rsid w:val="004E0C65"/>
    <w:rsid w:val="004E0F5F"/>
    <w:rsid w:val="004E104C"/>
    <w:rsid w:val="004E2B6A"/>
    <w:rsid w:val="004E48D3"/>
    <w:rsid w:val="004E4D39"/>
    <w:rsid w:val="004E6C28"/>
    <w:rsid w:val="004E71F2"/>
    <w:rsid w:val="004E7644"/>
    <w:rsid w:val="004E7B78"/>
    <w:rsid w:val="004F221C"/>
    <w:rsid w:val="004F30E1"/>
    <w:rsid w:val="004F32AE"/>
    <w:rsid w:val="004F3401"/>
    <w:rsid w:val="004F3588"/>
    <w:rsid w:val="004F4835"/>
    <w:rsid w:val="004F6AE9"/>
    <w:rsid w:val="004F70B1"/>
    <w:rsid w:val="004F723B"/>
    <w:rsid w:val="005010D1"/>
    <w:rsid w:val="00501B87"/>
    <w:rsid w:val="00504E19"/>
    <w:rsid w:val="00505020"/>
    <w:rsid w:val="00505550"/>
    <w:rsid w:val="00505D25"/>
    <w:rsid w:val="00506278"/>
    <w:rsid w:val="005071F6"/>
    <w:rsid w:val="00507BDC"/>
    <w:rsid w:val="00511CE6"/>
    <w:rsid w:val="00515570"/>
    <w:rsid w:val="0051762B"/>
    <w:rsid w:val="005203CB"/>
    <w:rsid w:val="00520AAD"/>
    <w:rsid w:val="00520D0E"/>
    <w:rsid w:val="00521BB6"/>
    <w:rsid w:val="00521C7D"/>
    <w:rsid w:val="00522E78"/>
    <w:rsid w:val="00525E99"/>
    <w:rsid w:val="00526507"/>
    <w:rsid w:val="00532049"/>
    <w:rsid w:val="00532D96"/>
    <w:rsid w:val="00533EE7"/>
    <w:rsid w:val="005348EC"/>
    <w:rsid w:val="005357BC"/>
    <w:rsid w:val="00536872"/>
    <w:rsid w:val="00537982"/>
    <w:rsid w:val="0054006A"/>
    <w:rsid w:val="00541A9B"/>
    <w:rsid w:val="00545F43"/>
    <w:rsid w:val="00551138"/>
    <w:rsid w:val="00551FFD"/>
    <w:rsid w:val="00555939"/>
    <w:rsid w:val="00555EEB"/>
    <w:rsid w:val="00556B68"/>
    <w:rsid w:val="00557ABD"/>
    <w:rsid w:val="00560754"/>
    <w:rsid w:val="005609D0"/>
    <w:rsid w:val="00561D06"/>
    <w:rsid w:val="00563EAC"/>
    <w:rsid w:val="00565FC6"/>
    <w:rsid w:val="00566B5A"/>
    <w:rsid w:val="00566BB6"/>
    <w:rsid w:val="005714DA"/>
    <w:rsid w:val="005723C8"/>
    <w:rsid w:val="005750E8"/>
    <w:rsid w:val="00575DB6"/>
    <w:rsid w:val="00576185"/>
    <w:rsid w:val="005773F5"/>
    <w:rsid w:val="00577ED1"/>
    <w:rsid w:val="0058060C"/>
    <w:rsid w:val="00580CB8"/>
    <w:rsid w:val="0058140A"/>
    <w:rsid w:val="00583EF9"/>
    <w:rsid w:val="00583FDD"/>
    <w:rsid w:val="0058493A"/>
    <w:rsid w:val="00585469"/>
    <w:rsid w:val="00587CB0"/>
    <w:rsid w:val="00590D3B"/>
    <w:rsid w:val="00591C75"/>
    <w:rsid w:val="00591D26"/>
    <w:rsid w:val="005921F7"/>
    <w:rsid w:val="00593A13"/>
    <w:rsid w:val="0059479B"/>
    <w:rsid w:val="0059488C"/>
    <w:rsid w:val="00594BE8"/>
    <w:rsid w:val="00597102"/>
    <w:rsid w:val="005A5B74"/>
    <w:rsid w:val="005A6EA2"/>
    <w:rsid w:val="005A7AA9"/>
    <w:rsid w:val="005B16F2"/>
    <w:rsid w:val="005B2D80"/>
    <w:rsid w:val="005B30BA"/>
    <w:rsid w:val="005B49B3"/>
    <w:rsid w:val="005B66ED"/>
    <w:rsid w:val="005B7FDE"/>
    <w:rsid w:val="005C0CFA"/>
    <w:rsid w:val="005C184F"/>
    <w:rsid w:val="005C1E56"/>
    <w:rsid w:val="005D2578"/>
    <w:rsid w:val="005D7A9B"/>
    <w:rsid w:val="005E3D6A"/>
    <w:rsid w:val="005E568D"/>
    <w:rsid w:val="005E5C21"/>
    <w:rsid w:val="005F176E"/>
    <w:rsid w:val="005F234D"/>
    <w:rsid w:val="005F3936"/>
    <w:rsid w:val="005F469F"/>
    <w:rsid w:val="005F4A04"/>
    <w:rsid w:val="005F501C"/>
    <w:rsid w:val="006016A5"/>
    <w:rsid w:val="00604FB5"/>
    <w:rsid w:val="00606D95"/>
    <w:rsid w:val="00607296"/>
    <w:rsid w:val="00612DA0"/>
    <w:rsid w:val="00615557"/>
    <w:rsid w:val="006201CC"/>
    <w:rsid w:val="0062052D"/>
    <w:rsid w:val="006208DE"/>
    <w:rsid w:val="00620F46"/>
    <w:rsid w:val="00621A02"/>
    <w:rsid w:val="00621ACE"/>
    <w:rsid w:val="006221CB"/>
    <w:rsid w:val="00622912"/>
    <w:rsid w:val="006244A3"/>
    <w:rsid w:val="0062493B"/>
    <w:rsid w:val="006263C4"/>
    <w:rsid w:val="006263ED"/>
    <w:rsid w:val="00631368"/>
    <w:rsid w:val="00633B1C"/>
    <w:rsid w:val="00637D6E"/>
    <w:rsid w:val="00651F6D"/>
    <w:rsid w:val="00653282"/>
    <w:rsid w:val="00653C0A"/>
    <w:rsid w:val="006543E2"/>
    <w:rsid w:val="00657EC7"/>
    <w:rsid w:val="00660B22"/>
    <w:rsid w:val="00662553"/>
    <w:rsid w:val="00663BA4"/>
    <w:rsid w:val="00663EE4"/>
    <w:rsid w:val="00664311"/>
    <w:rsid w:val="00664483"/>
    <w:rsid w:val="00665790"/>
    <w:rsid w:val="00665D05"/>
    <w:rsid w:val="00666799"/>
    <w:rsid w:val="0066685A"/>
    <w:rsid w:val="006676AE"/>
    <w:rsid w:val="00670558"/>
    <w:rsid w:val="00670B9C"/>
    <w:rsid w:val="00671AD7"/>
    <w:rsid w:val="00671F57"/>
    <w:rsid w:val="00673332"/>
    <w:rsid w:val="006759EF"/>
    <w:rsid w:val="00675BA2"/>
    <w:rsid w:val="00676920"/>
    <w:rsid w:val="00677A10"/>
    <w:rsid w:val="00677DD3"/>
    <w:rsid w:val="00680851"/>
    <w:rsid w:val="00685305"/>
    <w:rsid w:val="00686E11"/>
    <w:rsid w:val="006879DF"/>
    <w:rsid w:val="006910F0"/>
    <w:rsid w:val="00697E20"/>
    <w:rsid w:val="006A0291"/>
    <w:rsid w:val="006A20D1"/>
    <w:rsid w:val="006A2A86"/>
    <w:rsid w:val="006A3709"/>
    <w:rsid w:val="006A3C7C"/>
    <w:rsid w:val="006A4122"/>
    <w:rsid w:val="006A6803"/>
    <w:rsid w:val="006A696C"/>
    <w:rsid w:val="006A75F7"/>
    <w:rsid w:val="006B07BC"/>
    <w:rsid w:val="006B29C5"/>
    <w:rsid w:val="006B4A29"/>
    <w:rsid w:val="006B50D6"/>
    <w:rsid w:val="006B5389"/>
    <w:rsid w:val="006B5A58"/>
    <w:rsid w:val="006C1DFF"/>
    <w:rsid w:val="006C26C8"/>
    <w:rsid w:val="006C4DE3"/>
    <w:rsid w:val="006C7523"/>
    <w:rsid w:val="006D156D"/>
    <w:rsid w:val="006D18CA"/>
    <w:rsid w:val="006D2AA7"/>
    <w:rsid w:val="006D4158"/>
    <w:rsid w:val="006D6249"/>
    <w:rsid w:val="006D6F30"/>
    <w:rsid w:val="006D7354"/>
    <w:rsid w:val="006D7389"/>
    <w:rsid w:val="006E403A"/>
    <w:rsid w:val="006E608C"/>
    <w:rsid w:val="006E6C6A"/>
    <w:rsid w:val="006E6FE8"/>
    <w:rsid w:val="006F02AF"/>
    <w:rsid w:val="006F553A"/>
    <w:rsid w:val="006F6053"/>
    <w:rsid w:val="006F6159"/>
    <w:rsid w:val="006F69CE"/>
    <w:rsid w:val="00700B38"/>
    <w:rsid w:val="00701961"/>
    <w:rsid w:val="00701FB0"/>
    <w:rsid w:val="007026E8"/>
    <w:rsid w:val="0070387A"/>
    <w:rsid w:val="0070544D"/>
    <w:rsid w:val="007061E8"/>
    <w:rsid w:val="0070747F"/>
    <w:rsid w:val="0071025B"/>
    <w:rsid w:val="007108A7"/>
    <w:rsid w:val="00714348"/>
    <w:rsid w:val="007166FE"/>
    <w:rsid w:val="00717886"/>
    <w:rsid w:val="007200F0"/>
    <w:rsid w:val="00720A71"/>
    <w:rsid w:val="0072218D"/>
    <w:rsid w:val="00724006"/>
    <w:rsid w:val="0072510F"/>
    <w:rsid w:val="00726135"/>
    <w:rsid w:val="0073144A"/>
    <w:rsid w:val="007329EE"/>
    <w:rsid w:val="00733770"/>
    <w:rsid w:val="00733CF1"/>
    <w:rsid w:val="007408C3"/>
    <w:rsid w:val="00741A3F"/>
    <w:rsid w:val="00742AE9"/>
    <w:rsid w:val="007447EB"/>
    <w:rsid w:val="00745AEB"/>
    <w:rsid w:val="00745DA3"/>
    <w:rsid w:val="00747635"/>
    <w:rsid w:val="00754187"/>
    <w:rsid w:val="00754E5F"/>
    <w:rsid w:val="0075646A"/>
    <w:rsid w:val="00761AF1"/>
    <w:rsid w:val="0076216D"/>
    <w:rsid w:val="00764949"/>
    <w:rsid w:val="00765690"/>
    <w:rsid w:val="00767E5D"/>
    <w:rsid w:val="007703EC"/>
    <w:rsid w:val="00770D3D"/>
    <w:rsid w:val="00770DD0"/>
    <w:rsid w:val="00771852"/>
    <w:rsid w:val="00771AB0"/>
    <w:rsid w:val="00776B61"/>
    <w:rsid w:val="0078042B"/>
    <w:rsid w:val="007804F5"/>
    <w:rsid w:val="007805C0"/>
    <w:rsid w:val="007817B0"/>
    <w:rsid w:val="0078224E"/>
    <w:rsid w:val="007822F9"/>
    <w:rsid w:val="00784B7C"/>
    <w:rsid w:val="00784CE6"/>
    <w:rsid w:val="007856D2"/>
    <w:rsid w:val="00787016"/>
    <w:rsid w:val="00790A24"/>
    <w:rsid w:val="00790AD6"/>
    <w:rsid w:val="00791A6B"/>
    <w:rsid w:val="00792005"/>
    <w:rsid w:val="00793C76"/>
    <w:rsid w:val="007941BE"/>
    <w:rsid w:val="007948EA"/>
    <w:rsid w:val="007A28DE"/>
    <w:rsid w:val="007A405C"/>
    <w:rsid w:val="007A4CB3"/>
    <w:rsid w:val="007A5090"/>
    <w:rsid w:val="007A7BF8"/>
    <w:rsid w:val="007B1CD8"/>
    <w:rsid w:val="007B283E"/>
    <w:rsid w:val="007B37CC"/>
    <w:rsid w:val="007B3F6B"/>
    <w:rsid w:val="007B46EB"/>
    <w:rsid w:val="007B660E"/>
    <w:rsid w:val="007B6B12"/>
    <w:rsid w:val="007B6C90"/>
    <w:rsid w:val="007B7571"/>
    <w:rsid w:val="007B7CD2"/>
    <w:rsid w:val="007B7F10"/>
    <w:rsid w:val="007B7F7C"/>
    <w:rsid w:val="007C0623"/>
    <w:rsid w:val="007C1664"/>
    <w:rsid w:val="007C2637"/>
    <w:rsid w:val="007C319C"/>
    <w:rsid w:val="007C39A6"/>
    <w:rsid w:val="007C3B97"/>
    <w:rsid w:val="007C70F6"/>
    <w:rsid w:val="007D1466"/>
    <w:rsid w:val="007D1F8B"/>
    <w:rsid w:val="007D20DB"/>
    <w:rsid w:val="007D267F"/>
    <w:rsid w:val="007D35F2"/>
    <w:rsid w:val="007D458C"/>
    <w:rsid w:val="007D5A37"/>
    <w:rsid w:val="007D5CA7"/>
    <w:rsid w:val="007D64A8"/>
    <w:rsid w:val="007D6851"/>
    <w:rsid w:val="007E116E"/>
    <w:rsid w:val="007E1CE7"/>
    <w:rsid w:val="007E1E8F"/>
    <w:rsid w:val="007E47B1"/>
    <w:rsid w:val="007E4ECD"/>
    <w:rsid w:val="007E6F5E"/>
    <w:rsid w:val="007F02B3"/>
    <w:rsid w:val="007F4C11"/>
    <w:rsid w:val="00800E88"/>
    <w:rsid w:val="00800ED4"/>
    <w:rsid w:val="00801673"/>
    <w:rsid w:val="00802390"/>
    <w:rsid w:val="00802A76"/>
    <w:rsid w:val="008038B1"/>
    <w:rsid w:val="00803A3E"/>
    <w:rsid w:val="008042CB"/>
    <w:rsid w:val="008058D0"/>
    <w:rsid w:val="0081020B"/>
    <w:rsid w:val="00812CF8"/>
    <w:rsid w:val="00813570"/>
    <w:rsid w:val="00813CC0"/>
    <w:rsid w:val="00814E5A"/>
    <w:rsid w:val="00820273"/>
    <w:rsid w:val="00820A82"/>
    <w:rsid w:val="00824378"/>
    <w:rsid w:val="008246D3"/>
    <w:rsid w:val="00825114"/>
    <w:rsid w:val="00825B3C"/>
    <w:rsid w:val="00826083"/>
    <w:rsid w:val="00826243"/>
    <w:rsid w:val="00827F7B"/>
    <w:rsid w:val="00830AB8"/>
    <w:rsid w:val="008323EC"/>
    <w:rsid w:val="00832514"/>
    <w:rsid w:val="00832BDD"/>
    <w:rsid w:val="008341E7"/>
    <w:rsid w:val="00835603"/>
    <w:rsid w:val="00836262"/>
    <w:rsid w:val="008373CE"/>
    <w:rsid w:val="00837BBF"/>
    <w:rsid w:val="00837E9E"/>
    <w:rsid w:val="00840597"/>
    <w:rsid w:val="00847D27"/>
    <w:rsid w:val="00850544"/>
    <w:rsid w:val="00850FC9"/>
    <w:rsid w:val="00851A6B"/>
    <w:rsid w:val="008561F9"/>
    <w:rsid w:val="00856379"/>
    <w:rsid w:val="00856652"/>
    <w:rsid w:val="008600B0"/>
    <w:rsid w:val="00860D82"/>
    <w:rsid w:val="008614A7"/>
    <w:rsid w:val="00863870"/>
    <w:rsid w:val="0086415F"/>
    <w:rsid w:val="00864956"/>
    <w:rsid w:val="00864FFA"/>
    <w:rsid w:val="008662A8"/>
    <w:rsid w:val="00867248"/>
    <w:rsid w:val="00867928"/>
    <w:rsid w:val="0087010A"/>
    <w:rsid w:val="0087225E"/>
    <w:rsid w:val="00872687"/>
    <w:rsid w:val="00874E26"/>
    <w:rsid w:val="008757F8"/>
    <w:rsid w:val="00876984"/>
    <w:rsid w:val="00876BED"/>
    <w:rsid w:val="00877C54"/>
    <w:rsid w:val="008812FB"/>
    <w:rsid w:val="0088377E"/>
    <w:rsid w:val="00886576"/>
    <w:rsid w:val="00892609"/>
    <w:rsid w:val="008939B3"/>
    <w:rsid w:val="00894311"/>
    <w:rsid w:val="0089447D"/>
    <w:rsid w:val="00894AB5"/>
    <w:rsid w:val="008A1D01"/>
    <w:rsid w:val="008A244E"/>
    <w:rsid w:val="008A2B2F"/>
    <w:rsid w:val="008A3E1D"/>
    <w:rsid w:val="008A4520"/>
    <w:rsid w:val="008A54E0"/>
    <w:rsid w:val="008A5DFF"/>
    <w:rsid w:val="008A6E55"/>
    <w:rsid w:val="008B26D9"/>
    <w:rsid w:val="008B39FB"/>
    <w:rsid w:val="008B529E"/>
    <w:rsid w:val="008C2DBE"/>
    <w:rsid w:val="008C66A4"/>
    <w:rsid w:val="008D0280"/>
    <w:rsid w:val="008D03A2"/>
    <w:rsid w:val="008D596A"/>
    <w:rsid w:val="008D689F"/>
    <w:rsid w:val="008D799E"/>
    <w:rsid w:val="008E1B82"/>
    <w:rsid w:val="008E20AD"/>
    <w:rsid w:val="008E3107"/>
    <w:rsid w:val="008E495D"/>
    <w:rsid w:val="008E6B85"/>
    <w:rsid w:val="008E701C"/>
    <w:rsid w:val="008E7614"/>
    <w:rsid w:val="008E7A5A"/>
    <w:rsid w:val="008E7B36"/>
    <w:rsid w:val="008F19D0"/>
    <w:rsid w:val="008F2F08"/>
    <w:rsid w:val="0090305A"/>
    <w:rsid w:val="00903257"/>
    <w:rsid w:val="0091068A"/>
    <w:rsid w:val="009132C4"/>
    <w:rsid w:val="00915E07"/>
    <w:rsid w:val="009173EC"/>
    <w:rsid w:val="00922788"/>
    <w:rsid w:val="009228D1"/>
    <w:rsid w:val="00923091"/>
    <w:rsid w:val="00930146"/>
    <w:rsid w:val="00930A1B"/>
    <w:rsid w:val="009324BE"/>
    <w:rsid w:val="009374F4"/>
    <w:rsid w:val="00940161"/>
    <w:rsid w:val="009401FE"/>
    <w:rsid w:val="0094170F"/>
    <w:rsid w:val="00944F23"/>
    <w:rsid w:val="00946469"/>
    <w:rsid w:val="00951204"/>
    <w:rsid w:val="00955D4C"/>
    <w:rsid w:val="009564F1"/>
    <w:rsid w:val="009568FD"/>
    <w:rsid w:val="00956C74"/>
    <w:rsid w:val="00960830"/>
    <w:rsid w:val="009608F9"/>
    <w:rsid w:val="00960904"/>
    <w:rsid w:val="00965D08"/>
    <w:rsid w:val="00965D33"/>
    <w:rsid w:val="009676A8"/>
    <w:rsid w:val="0097023B"/>
    <w:rsid w:val="00970AC8"/>
    <w:rsid w:val="00970DA7"/>
    <w:rsid w:val="00972339"/>
    <w:rsid w:val="009727F5"/>
    <w:rsid w:val="00973AB8"/>
    <w:rsid w:val="009742F3"/>
    <w:rsid w:val="00974D5C"/>
    <w:rsid w:val="00974E97"/>
    <w:rsid w:val="00976DDF"/>
    <w:rsid w:val="00977A71"/>
    <w:rsid w:val="00980767"/>
    <w:rsid w:val="009824AD"/>
    <w:rsid w:val="00982A6B"/>
    <w:rsid w:val="009833D9"/>
    <w:rsid w:val="00990A46"/>
    <w:rsid w:val="00990BCE"/>
    <w:rsid w:val="00991D6E"/>
    <w:rsid w:val="0099356D"/>
    <w:rsid w:val="00994A44"/>
    <w:rsid w:val="009954C2"/>
    <w:rsid w:val="009A0367"/>
    <w:rsid w:val="009A2BF9"/>
    <w:rsid w:val="009A4747"/>
    <w:rsid w:val="009A4925"/>
    <w:rsid w:val="009B2856"/>
    <w:rsid w:val="009B303E"/>
    <w:rsid w:val="009B33DB"/>
    <w:rsid w:val="009B55DF"/>
    <w:rsid w:val="009B561F"/>
    <w:rsid w:val="009B6C92"/>
    <w:rsid w:val="009B6D5D"/>
    <w:rsid w:val="009B7F36"/>
    <w:rsid w:val="009C03D0"/>
    <w:rsid w:val="009C22F3"/>
    <w:rsid w:val="009C22FF"/>
    <w:rsid w:val="009C2606"/>
    <w:rsid w:val="009C2C3D"/>
    <w:rsid w:val="009C330E"/>
    <w:rsid w:val="009D4D09"/>
    <w:rsid w:val="009E1D6B"/>
    <w:rsid w:val="009E22AF"/>
    <w:rsid w:val="009E368B"/>
    <w:rsid w:val="009E3A7A"/>
    <w:rsid w:val="009E4F79"/>
    <w:rsid w:val="009E7300"/>
    <w:rsid w:val="009F0697"/>
    <w:rsid w:val="009F1E53"/>
    <w:rsid w:val="009F257A"/>
    <w:rsid w:val="009F27BE"/>
    <w:rsid w:val="009F28ED"/>
    <w:rsid w:val="009F4322"/>
    <w:rsid w:val="009F4980"/>
    <w:rsid w:val="009F58AC"/>
    <w:rsid w:val="00A0037A"/>
    <w:rsid w:val="00A039DA"/>
    <w:rsid w:val="00A06A2F"/>
    <w:rsid w:val="00A10BFE"/>
    <w:rsid w:val="00A10F4B"/>
    <w:rsid w:val="00A11ABC"/>
    <w:rsid w:val="00A121F0"/>
    <w:rsid w:val="00A12339"/>
    <w:rsid w:val="00A137C8"/>
    <w:rsid w:val="00A1397A"/>
    <w:rsid w:val="00A16204"/>
    <w:rsid w:val="00A23240"/>
    <w:rsid w:val="00A25913"/>
    <w:rsid w:val="00A268B4"/>
    <w:rsid w:val="00A317E8"/>
    <w:rsid w:val="00A319D1"/>
    <w:rsid w:val="00A329C1"/>
    <w:rsid w:val="00A33E11"/>
    <w:rsid w:val="00A349F0"/>
    <w:rsid w:val="00A350AE"/>
    <w:rsid w:val="00A40666"/>
    <w:rsid w:val="00A42D26"/>
    <w:rsid w:val="00A43C25"/>
    <w:rsid w:val="00A46D5A"/>
    <w:rsid w:val="00A46E94"/>
    <w:rsid w:val="00A511C2"/>
    <w:rsid w:val="00A54BD5"/>
    <w:rsid w:val="00A55858"/>
    <w:rsid w:val="00A559C5"/>
    <w:rsid w:val="00A57FC7"/>
    <w:rsid w:val="00A622BE"/>
    <w:rsid w:val="00A62B98"/>
    <w:rsid w:val="00A66A93"/>
    <w:rsid w:val="00A677AB"/>
    <w:rsid w:val="00A71684"/>
    <w:rsid w:val="00A71769"/>
    <w:rsid w:val="00A7272F"/>
    <w:rsid w:val="00A72DA9"/>
    <w:rsid w:val="00A73129"/>
    <w:rsid w:val="00A7437D"/>
    <w:rsid w:val="00A75DBA"/>
    <w:rsid w:val="00A76060"/>
    <w:rsid w:val="00A82D38"/>
    <w:rsid w:val="00A838FB"/>
    <w:rsid w:val="00A83D1C"/>
    <w:rsid w:val="00A844D9"/>
    <w:rsid w:val="00A86BB6"/>
    <w:rsid w:val="00A9101A"/>
    <w:rsid w:val="00A94134"/>
    <w:rsid w:val="00A950B3"/>
    <w:rsid w:val="00A95892"/>
    <w:rsid w:val="00A96FEB"/>
    <w:rsid w:val="00A9736A"/>
    <w:rsid w:val="00A9740E"/>
    <w:rsid w:val="00A97938"/>
    <w:rsid w:val="00AA2513"/>
    <w:rsid w:val="00AA26A0"/>
    <w:rsid w:val="00AA2EB1"/>
    <w:rsid w:val="00AA6E0E"/>
    <w:rsid w:val="00AB05D0"/>
    <w:rsid w:val="00AB08DD"/>
    <w:rsid w:val="00AB1F94"/>
    <w:rsid w:val="00AB27FB"/>
    <w:rsid w:val="00AB3288"/>
    <w:rsid w:val="00AB4F01"/>
    <w:rsid w:val="00AB56AA"/>
    <w:rsid w:val="00AB7BE3"/>
    <w:rsid w:val="00AC42C5"/>
    <w:rsid w:val="00AD4A56"/>
    <w:rsid w:val="00AD5A2E"/>
    <w:rsid w:val="00AD5D00"/>
    <w:rsid w:val="00AD5D26"/>
    <w:rsid w:val="00AD71F9"/>
    <w:rsid w:val="00AD79D1"/>
    <w:rsid w:val="00AE1D09"/>
    <w:rsid w:val="00AE213C"/>
    <w:rsid w:val="00AE2B5A"/>
    <w:rsid w:val="00AE3E82"/>
    <w:rsid w:val="00AE5CDF"/>
    <w:rsid w:val="00AE603D"/>
    <w:rsid w:val="00AE69FE"/>
    <w:rsid w:val="00AE7C06"/>
    <w:rsid w:val="00AE7E8B"/>
    <w:rsid w:val="00AF082A"/>
    <w:rsid w:val="00AF393B"/>
    <w:rsid w:val="00AF7EAD"/>
    <w:rsid w:val="00B01032"/>
    <w:rsid w:val="00B015DE"/>
    <w:rsid w:val="00B05F4B"/>
    <w:rsid w:val="00B06128"/>
    <w:rsid w:val="00B0641C"/>
    <w:rsid w:val="00B0787E"/>
    <w:rsid w:val="00B11AFD"/>
    <w:rsid w:val="00B15674"/>
    <w:rsid w:val="00B17EA7"/>
    <w:rsid w:val="00B23477"/>
    <w:rsid w:val="00B23F82"/>
    <w:rsid w:val="00B25AA5"/>
    <w:rsid w:val="00B270FF"/>
    <w:rsid w:val="00B27D5C"/>
    <w:rsid w:val="00B31345"/>
    <w:rsid w:val="00B31AF8"/>
    <w:rsid w:val="00B31D76"/>
    <w:rsid w:val="00B32A7B"/>
    <w:rsid w:val="00B33E1E"/>
    <w:rsid w:val="00B34AF3"/>
    <w:rsid w:val="00B34D66"/>
    <w:rsid w:val="00B4135F"/>
    <w:rsid w:val="00B4190D"/>
    <w:rsid w:val="00B41E35"/>
    <w:rsid w:val="00B445C5"/>
    <w:rsid w:val="00B446B8"/>
    <w:rsid w:val="00B45D4A"/>
    <w:rsid w:val="00B50B60"/>
    <w:rsid w:val="00B56A09"/>
    <w:rsid w:val="00B5772E"/>
    <w:rsid w:val="00B624B8"/>
    <w:rsid w:val="00B648A4"/>
    <w:rsid w:val="00B65332"/>
    <w:rsid w:val="00B71480"/>
    <w:rsid w:val="00B71EF2"/>
    <w:rsid w:val="00B71F56"/>
    <w:rsid w:val="00B74B57"/>
    <w:rsid w:val="00B7548D"/>
    <w:rsid w:val="00B757C5"/>
    <w:rsid w:val="00B772ED"/>
    <w:rsid w:val="00B82046"/>
    <w:rsid w:val="00B845F3"/>
    <w:rsid w:val="00B8560B"/>
    <w:rsid w:val="00B86D66"/>
    <w:rsid w:val="00B87277"/>
    <w:rsid w:val="00B915D2"/>
    <w:rsid w:val="00B93AFA"/>
    <w:rsid w:val="00B951E6"/>
    <w:rsid w:val="00B9736C"/>
    <w:rsid w:val="00BA01E2"/>
    <w:rsid w:val="00BA0448"/>
    <w:rsid w:val="00BA0B45"/>
    <w:rsid w:val="00BA17D0"/>
    <w:rsid w:val="00BA1953"/>
    <w:rsid w:val="00BA3E1C"/>
    <w:rsid w:val="00BB061C"/>
    <w:rsid w:val="00BB08F1"/>
    <w:rsid w:val="00BB0D14"/>
    <w:rsid w:val="00BB175D"/>
    <w:rsid w:val="00BB25EB"/>
    <w:rsid w:val="00BB2D15"/>
    <w:rsid w:val="00BB3AD5"/>
    <w:rsid w:val="00BB4DEB"/>
    <w:rsid w:val="00BB524E"/>
    <w:rsid w:val="00BB5A0E"/>
    <w:rsid w:val="00BC2656"/>
    <w:rsid w:val="00BC34D7"/>
    <w:rsid w:val="00BC37A6"/>
    <w:rsid w:val="00BC41B6"/>
    <w:rsid w:val="00BC4F90"/>
    <w:rsid w:val="00BC54A5"/>
    <w:rsid w:val="00BC564E"/>
    <w:rsid w:val="00BC5B22"/>
    <w:rsid w:val="00BC617A"/>
    <w:rsid w:val="00BC741E"/>
    <w:rsid w:val="00BD00B7"/>
    <w:rsid w:val="00BD00E0"/>
    <w:rsid w:val="00BD17A9"/>
    <w:rsid w:val="00BD71E3"/>
    <w:rsid w:val="00BE176C"/>
    <w:rsid w:val="00BE2CCA"/>
    <w:rsid w:val="00BE2FA7"/>
    <w:rsid w:val="00BE41AE"/>
    <w:rsid w:val="00BE45D1"/>
    <w:rsid w:val="00BE511E"/>
    <w:rsid w:val="00BE6ABB"/>
    <w:rsid w:val="00BE77B8"/>
    <w:rsid w:val="00BE7F79"/>
    <w:rsid w:val="00BF27BB"/>
    <w:rsid w:val="00BF34F5"/>
    <w:rsid w:val="00BF4B95"/>
    <w:rsid w:val="00BF5A43"/>
    <w:rsid w:val="00BF6224"/>
    <w:rsid w:val="00C011DB"/>
    <w:rsid w:val="00C048D3"/>
    <w:rsid w:val="00C05EC4"/>
    <w:rsid w:val="00C07878"/>
    <w:rsid w:val="00C078FF"/>
    <w:rsid w:val="00C11DC4"/>
    <w:rsid w:val="00C15214"/>
    <w:rsid w:val="00C1552D"/>
    <w:rsid w:val="00C15DEF"/>
    <w:rsid w:val="00C1624A"/>
    <w:rsid w:val="00C16BF0"/>
    <w:rsid w:val="00C17DC6"/>
    <w:rsid w:val="00C21BBC"/>
    <w:rsid w:val="00C23337"/>
    <w:rsid w:val="00C277DE"/>
    <w:rsid w:val="00C30240"/>
    <w:rsid w:val="00C3117E"/>
    <w:rsid w:val="00C32719"/>
    <w:rsid w:val="00C33036"/>
    <w:rsid w:val="00C341E7"/>
    <w:rsid w:val="00C3494F"/>
    <w:rsid w:val="00C34A24"/>
    <w:rsid w:val="00C36B7B"/>
    <w:rsid w:val="00C40A17"/>
    <w:rsid w:val="00C40BB6"/>
    <w:rsid w:val="00C4737E"/>
    <w:rsid w:val="00C51EA4"/>
    <w:rsid w:val="00C52038"/>
    <w:rsid w:val="00C53888"/>
    <w:rsid w:val="00C54763"/>
    <w:rsid w:val="00C55593"/>
    <w:rsid w:val="00C571BA"/>
    <w:rsid w:val="00C57A3F"/>
    <w:rsid w:val="00C607E6"/>
    <w:rsid w:val="00C61D21"/>
    <w:rsid w:val="00C623EE"/>
    <w:rsid w:val="00C63B17"/>
    <w:rsid w:val="00C70D31"/>
    <w:rsid w:val="00C712EB"/>
    <w:rsid w:val="00C74EEC"/>
    <w:rsid w:val="00C75753"/>
    <w:rsid w:val="00C75D63"/>
    <w:rsid w:val="00C77C8A"/>
    <w:rsid w:val="00C819AA"/>
    <w:rsid w:val="00C831CA"/>
    <w:rsid w:val="00C84580"/>
    <w:rsid w:val="00C84723"/>
    <w:rsid w:val="00C84740"/>
    <w:rsid w:val="00C84C02"/>
    <w:rsid w:val="00C866F2"/>
    <w:rsid w:val="00C8706E"/>
    <w:rsid w:val="00C91A42"/>
    <w:rsid w:val="00C93E20"/>
    <w:rsid w:val="00C94751"/>
    <w:rsid w:val="00C956B3"/>
    <w:rsid w:val="00C96642"/>
    <w:rsid w:val="00C968A1"/>
    <w:rsid w:val="00C96D63"/>
    <w:rsid w:val="00CA06A3"/>
    <w:rsid w:val="00CA24F8"/>
    <w:rsid w:val="00CA262E"/>
    <w:rsid w:val="00CA2BC3"/>
    <w:rsid w:val="00CA38B8"/>
    <w:rsid w:val="00CA3985"/>
    <w:rsid w:val="00CA408E"/>
    <w:rsid w:val="00CA4482"/>
    <w:rsid w:val="00CA72C6"/>
    <w:rsid w:val="00CC2163"/>
    <w:rsid w:val="00CC26A7"/>
    <w:rsid w:val="00CC2C92"/>
    <w:rsid w:val="00CC47E8"/>
    <w:rsid w:val="00CC4E5A"/>
    <w:rsid w:val="00CC5188"/>
    <w:rsid w:val="00CC7B21"/>
    <w:rsid w:val="00CD2339"/>
    <w:rsid w:val="00CD3FE3"/>
    <w:rsid w:val="00CD50EF"/>
    <w:rsid w:val="00CD654B"/>
    <w:rsid w:val="00CD77C1"/>
    <w:rsid w:val="00CD7C27"/>
    <w:rsid w:val="00CE0E67"/>
    <w:rsid w:val="00CE0F87"/>
    <w:rsid w:val="00CE1A57"/>
    <w:rsid w:val="00CE2ACF"/>
    <w:rsid w:val="00CE40C4"/>
    <w:rsid w:val="00CE4138"/>
    <w:rsid w:val="00CE6FF9"/>
    <w:rsid w:val="00CF080F"/>
    <w:rsid w:val="00CF128C"/>
    <w:rsid w:val="00CF1675"/>
    <w:rsid w:val="00CF2D48"/>
    <w:rsid w:val="00CF6207"/>
    <w:rsid w:val="00CF711A"/>
    <w:rsid w:val="00D0264D"/>
    <w:rsid w:val="00D030D5"/>
    <w:rsid w:val="00D04458"/>
    <w:rsid w:val="00D05276"/>
    <w:rsid w:val="00D053AF"/>
    <w:rsid w:val="00D123AD"/>
    <w:rsid w:val="00D13394"/>
    <w:rsid w:val="00D136E9"/>
    <w:rsid w:val="00D139B3"/>
    <w:rsid w:val="00D14734"/>
    <w:rsid w:val="00D160F5"/>
    <w:rsid w:val="00D16C0D"/>
    <w:rsid w:val="00D21D80"/>
    <w:rsid w:val="00D2540D"/>
    <w:rsid w:val="00D25A74"/>
    <w:rsid w:val="00D2695E"/>
    <w:rsid w:val="00D26C88"/>
    <w:rsid w:val="00D274B4"/>
    <w:rsid w:val="00D30AAF"/>
    <w:rsid w:val="00D30ACB"/>
    <w:rsid w:val="00D32A97"/>
    <w:rsid w:val="00D3323A"/>
    <w:rsid w:val="00D363BB"/>
    <w:rsid w:val="00D37581"/>
    <w:rsid w:val="00D37EFF"/>
    <w:rsid w:val="00D4246E"/>
    <w:rsid w:val="00D42BC7"/>
    <w:rsid w:val="00D448ED"/>
    <w:rsid w:val="00D44C4B"/>
    <w:rsid w:val="00D45170"/>
    <w:rsid w:val="00D5058E"/>
    <w:rsid w:val="00D50E7A"/>
    <w:rsid w:val="00D52206"/>
    <w:rsid w:val="00D5254A"/>
    <w:rsid w:val="00D527EB"/>
    <w:rsid w:val="00D52E12"/>
    <w:rsid w:val="00D53766"/>
    <w:rsid w:val="00D54012"/>
    <w:rsid w:val="00D540E4"/>
    <w:rsid w:val="00D54731"/>
    <w:rsid w:val="00D5506F"/>
    <w:rsid w:val="00D55E85"/>
    <w:rsid w:val="00D56E54"/>
    <w:rsid w:val="00D648A8"/>
    <w:rsid w:val="00D6532C"/>
    <w:rsid w:val="00D66BBB"/>
    <w:rsid w:val="00D70C55"/>
    <w:rsid w:val="00D70DA1"/>
    <w:rsid w:val="00D721A8"/>
    <w:rsid w:val="00D757A3"/>
    <w:rsid w:val="00D75905"/>
    <w:rsid w:val="00D82A07"/>
    <w:rsid w:val="00D85F49"/>
    <w:rsid w:val="00D86D18"/>
    <w:rsid w:val="00D951F4"/>
    <w:rsid w:val="00D954DF"/>
    <w:rsid w:val="00D956BC"/>
    <w:rsid w:val="00D96E70"/>
    <w:rsid w:val="00DA1CA2"/>
    <w:rsid w:val="00DA4D9B"/>
    <w:rsid w:val="00DB0088"/>
    <w:rsid w:val="00DB0648"/>
    <w:rsid w:val="00DB07B9"/>
    <w:rsid w:val="00DB176B"/>
    <w:rsid w:val="00DB1ACD"/>
    <w:rsid w:val="00DB35F2"/>
    <w:rsid w:val="00DB50FC"/>
    <w:rsid w:val="00DB5272"/>
    <w:rsid w:val="00DC0D95"/>
    <w:rsid w:val="00DC153A"/>
    <w:rsid w:val="00DC3BDA"/>
    <w:rsid w:val="00DC4A5D"/>
    <w:rsid w:val="00DC5FF2"/>
    <w:rsid w:val="00DC6BF2"/>
    <w:rsid w:val="00DD1410"/>
    <w:rsid w:val="00DD1814"/>
    <w:rsid w:val="00DD1CB2"/>
    <w:rsid w:val="00DD6533"/>
    <w:rsid w:val="00DD72C8"/>
    <w:rsid w:val="00DE3777"/>
    <w:rsid w:val="00DE5BE3"/>
    <w:rsid w:val="00DE64C2"/>
    <w:rsid w:val="00DE7541"/>
    <w:rsid w:val="00DF192F"/>
    <w:rsid w:val="00DF5450"/>
    <w:rsid w:val="00DF5CCB"/>
    <w:rsid w:val="00DF631A"/>
    <w:rsid w:val="00E07189"/>
    <w:rsid w:val="00E10599"/>
    <w:rsid w:val="00E113A9"/>
    <w:rsid w:val="00E12758"/>
    <w:rsid w:val="00E12F57"/>
    <w:rsid w:val="00E14E0D"/>
    <w:rsid w:val="00E16731"/>
    <w:rsid w:val="00E174D4"/>
    <w:rsid w:val="00E17EF7"/>
    <w:rsid w:val="00E23B09"/>
    <w:rsid w:val="00E251BC"/>
    <w:rsid w:val="00E3463A"/>
    <w:rsid w:val="00E3683C"/>
    <w:rsid w:val="00E37513"/>
    <w:rsid w:val="00E37F01"/>
    <w:rsid w:val="00E430A8"/>
    <w:rsid w:val="00E432B5"/>
    <w:rsid w:val="00E4534C"/>
    <w:rsid w:val="00E459CF"/>
    <w:rsid w:val="00E5049C"/>
    <w:rsid w:val="00E55CC8"/>
    <w:rsid w:val="00E568C8"/>
    <w:rsid w:val="00E56AA9"/>
    <w:rsid w:val="00E570EE"/>
    <w:rsid w:val="00E57E38"/>
    <w:rsid w:val="00E57E3B"/>
    <w:rsid w:val="00E6403E"/>
    <w:rsid w:val="00E6525C"/>
    <w:rsid w:val="00E6544C"/>
    <w:rsid w:val="00E66491"/>
    <w:rsid w:val="00E732EA"/>
    <w:rsid w:val="00E77105"/>
    <w:rsid w:val="00E8116D"/>
    <w:rsid w:val="00E847BE"/>
    <w:rsid w:val="00E851EF"/>
    <w:rsid w:val="00E85EC9"/>
    <w:rsid w:val="00E86C2E"/>
    <w:rsid w:val="00E87620"/>
    <w:rsid w:val="00E9330A"/>
    <w:rsid w:val="00E938D7"/>
    <w:rsid w:val="00E94441"/>
    <w:rsid w:val="00E96CE7"/>
    <w:rsid w:val="00EA2662"/>
    <w:rsid w:val="00EA2E78"/>
    <w:rsid w:val="00EA588D"/>
    <w:rsid w:val="00EA589D"/>
    <w:rsid w:val="00EA5D57"/>
    <w:rsid w:val="00EB1410"/>
    <w:rsid w:val="00EB1700"/>
    <w:rsid w:val="00EB1731"/>
    <w:rsid w:val="00EB1C71"/>
    <w:rsid w:val="00EB34A3"/>
    <w:rsid w:val="00EB4E2C"/>
    <w:rsid w:val="00EB523D"/>
    <w:rsid w:val="00EC0F79"/>
    <w:rsid w:val="00EC304B"/>
    <w:rsid w:val="00EC3969"/>
    <w:rsid w:val="00EC4847"/>
    <w:rsid w:val="00EC4A69"/>
    <w:rsid w:val="00EC5AB2"/>
    <w:rsid w:val="00EC6AC5"/>
    <w:rsid w:val="00ED17D5"/>
    <w:rsid w:val="00ED1CC1"/>
    <w:rsid w:val="00ED2760"/>
    <w:rsid w:val="00ED28D5"/>
    <w:rsid w:val="00ED2A0B"/>
    <w:rsid w:val="00ED46E2"/>
    <w:rsid w:val="00ED4BD7"/>
    <w:rsid w:val="00ED5BE1"/>
    <w:rsid w:val="00ED61EA"/>
    <w:rsid w:val="00EE01DB"/>
    <w:rsid w:val="00EE1A52"/>
    <w:rsid w:val="00EE1D23"/>
    <w:rsid w:val="00EE4C2C"/>
    <w:rsid w:val="00EE5D0F"/>
    <w:rsid w:val="00EE6845"/>
    <w:rsid w:val="00EE73D5"/>
    <w:rsid w:val="00EE7802"/>
    <w:rsid w:val="00EE7A64"/>
    <w:rsid w:val="00EE7C11"/>
    <w:rsid w:val="00EF0844"/>
    <w:rsid w:val="00EF105E"/>
    <w:rsid w:val="00EF13DC"/>
    <w:rsid w:val="00EF18D9"/>
    <w:rsid w:val="00EF2005"/>
    <w:rsid w:val="00EF2DBD"/>
    <w:rsid w:val="00EF3B60"/>
    <w:rsid w:val="00EF66BB"/>
    <w:rsid w:val="00EF7959"/>
    <w:rsid w:val="00EF7F19"/>
    <w:rsid w:val="00F016F5"/>
    <w:rsid w:val="00F01BC4"/>
    <w:rsid w:val="00F01FEC"/>
    <w:rsid w:val="00F03594"/>
    <w:rsid w:val="00F03E0F"/>
    <w:rsid w:val="00F047C7"/>
    <w:rsid w:val="00F0553C"/>
    <w:rsid w:val="00F072CC"/>
    <w:rsid w:val="00F10DEA"/>
    <w:rsid w:val="00F113B5"/>
    <w:rsid w:val="00F11D5B"/>
    <w:rsid w:val="00F129CF"/>
    <w:rsid w:val="00F13394"/>
    <w:rsid w:val="00F1379F"/>
    <w:rsid w:val="00F1445B"/>
    <w:rsid w:val="00F14EF7"/>
    <w:rsid w:val="00F15E88"/>
    <w:rsid w:val="00F171BA"/>
    <w:rsid w:val="00F21ABC"/>
    <w:rsid w:val="00F2394B"/>
    <w:rsid w:val="00F2565C"/>
    <w:rsid w:val="00F256F7"/>
    <w:rsid w:val="00F319CD"/>
    <w:rsid w:val="00F32C8D"/>
    <w:rsid w:val="00F348FA"/>
    <w:rsid w:val="00F3790C"/>
    <w:rsid w:val="00F37A77"/>
    <w:rsid w:val="00F43AD1"/>
    <w:rsid w:val="00F45024"/>
    <w:rsid w:val="00F46C1A"/>
    <w:rsid w:val="00F47792"/>
    <w:rsid w:val="00F47E63"/>
    <w:rsid w:val="00F5100E"/>
    <w:rsid w:val="00F53075"/>
    <w:rsid w:val="00F54278"/>
    <w:rsid w:val="00F56562"/>
    <w:rsid w:val="00F57C30"/>
    <w:rsid w:val="00F57DC9"/>
    <w:rsid w:val="00F6394C"/>
    <w:rsid w:val="00F65650"/>
    <w:rsid w:val="00F65DFC"/>
    <w:rsid w:val="00F67941"/>
    <w:rsid w:val="00F700EA"/>
    <w:rsid w:val="00F7033C"/>
    <w:rsid w:val="00F72807"/>
    <w:rsid w:val="00F745CB"/>
    <w:rsid w:val="00F75317"/>
    <w:rsid w:val="00F75506"/>
    <w:rsid w:val="00F82126"/>
    <w:rsid w:val="00F82241"/>
    <w:rsid w:val="00F82285"/>
    <w:rsid w:val="00F82BBB"/>
    <w:rsid w:val="00F82D53"/>
    <w:rsid w:val="00F82D76"/>
    <w:rsid w:val="00F84404"/>
    <w:rsid w:val="00F84F2D"/>
    <w:rsid w:val="00F85CE4"/>
    <w:rsid w:val="00F86B64"/>
    <w:rsid w:val="00F94785"/>
    <w:rsid w:val="00F94F60"/>
    <w:rsid w:val="00F95E92"/>
    <w:rsid w:val="00F96977"/>
    <w:rsid w:val="00FA014E"/>
    <w:rsid w:val="00FA1D03"/>
    <w:rsid w:val="00FA2633"/>
    <w:rsid w:val="00FA2B52"/>
    <w:rsid w:val="00FA5A27"/>
    <w:rsid w:val="00FA61D1"/>
    <w:rsid w:val="00FA6624"/>
    <w:rsid w:val="00FA76E2"/>
    <w:rsid w:val="00FA7B22"/>
    <w:rsid w:val="00FB1A07"/>
    <w:rsid w:val="00FB1F76"/>
    <w:rsid w:val="00FB3578"/>
    <w:rsid w:val="00FB44C1"/>
    <w:rsid w:val="00FB486D"/>
    <w:rsid w:val="00FB6C32"/>
    <w:rsid w:val="00FB6DFD"/>
    <w:rsid w:val="00FB7397"/>
    <w:rsid w:val="00FC0F0D"/>
    <w:rsid w:val="00FC2D1F"/>
    <w:rsid w:val="00FC35DC"/>
    <w:rsid w:val="00FC3EF5"/>
    <w:rsid w:val="00FC5A13"/>
    <w:rsid w:val="00FC6EA0"/>
    <w:rsid w:val="00FC729D"/>
    <w:rsid w:val="00FD1623"/>
    <w:rsid w:val="00FD1923"/>
    <w:rsid w:val="00FD78E0"/>
    <w:rsid w:val="00FE0088"/>
    <w:rsid w:val="00FE05DB"/>
    <w:rsid w:val="00FE193A"/>
    <w:rsid w:val="00FE23D4"/>
    <w:rsid w:val="00FE3234"/>
    <w:rsid w:val="00FE42CA"/>
    <w:rsid w:val="00FE681E"/>
    <w:rsid w:val="00FE6B23"/>
    <w:rsid w:val="00FF0B4D"/>
    <w:rsid w:val="00FF13DA"/>
    <w:rsid w:val="00FF1945"/>
    <w:rsid w:val="00FF3510"/>
    <w:rsid w:val="00FF4E80"/>
    <w:rsid w:val="00FF73C8"/>
    <w:rsid w:val="00FF7B4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469A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E23D4"/>
    <w:rPr>
      <w:rFonts w:ascii="Times New Roman" w:hAnsi="Times New Roman" w:cs="Times New Roman"/>
      <w:sz w:val="24"/>
      <w:szCs w:val="24"/>
    </w:rPr>
  </w:style>
  <w:style w:type="paragraph" w:styleId="Ttulo1">
    <w:name w:val="heading 1"/>
    <w:basedOn w:val="Normal1"/>
    <w:next w:val="Normal1"/>
    <w:pPr>
      <w:keepNext/>
      <w:keepLines/>
      <w:spacing w:before="480" w:after="120"/>
      <w:contextualSpacing/>
      <w:outlineLvl w:val="0"/>
    </w:pPr>
    <w:rPr>
      <w:b/>
      <w:sz w:val="48"/>
      <w:szCs w:val="48"/>
    </w:rPr>
  </w:style>
  <w:style w:type="paragraph" w:styleId="Ttulo2">
    <w:name w:val="heading 2"/>
    <w:basedOn w:val="Normal1"/>
    <w:next w:val="Normal1"/>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1"/>
    <w:next w:val="Normal1"/>
    <w:pPr>
      <w:keepNext/>
      <w:keepLines/>
      <w:spacing w:before="200" w:after="0"/>
      <w:outlineLvl w:val="2"/>
    </w:pPr>
    <w:rPr>
      <w:rFonts w:ascii="Cambria" w:eastAsia="Cambria" w:hAnsi="Cambria" w:cs="Cambria"/>
      <w:b/>
      <w:color w:val="4F81BD"/>
      <w:sz w:val="20"/>
      <w:szCs w:val="20"/>
    </w:rPr>
  </w:style>
  <w:style w:type="paragraph" w:styleId="Ttulo4">
    <w:name w:val="heading 4"/>
    <w:basedOn w:val="Normal1"/>
    <w:next w:val="Normal1"/>
    <w:pPr>
      <w:keepNext/>
      <w:keepLines/>
      <w:spacing w:before="240" w:after="40"/>
      <w:contextualSpacing/>
      <w:outlineLvl w:val="3"/>
    </w:pPr>
    <w:rPr>
      <w:b/>
      <w:sz w:val="24"/>
      <w:szCs w:val="24"/>
    </w:rPr>
  </w:style>
  <w:style w:type="paragraph" w:styleId="Ttulo5">
    <w:name w:val="heading 5"/>
    <w:basedOn w:val="Normal1"/>
    <w:next w:val="Normal1"/>
    <w:pPr>
      <w:keepNext/>
      <w:keepLines/>
      <w:spacing w:before="220" w:after="40"/>
      <w:contextualSpacing/>
      <w:outlineLvl w:val="4"/>
    </w:pPr>
    <w:rPr>
      <w:b/>
    </w:rPr>
  </w:style>
  <w:style w:type="paragraph" w:styleId="Ttulo6">
    <w:name w:val="heading 6"/>
    <w:basedOn w:val="Normal1"/>
    <w:next w:val="Normal1"/>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pPr>
      <w:spacing w:after="200" w:line="276" w:lineRule="auto"/>
    </w:pPr>
    <w:rPr>
      <w:color w:val="000000"/>
      <w:sz w:val="22"/>
      <w:szCs w:val="22"/>
      <w:lang w:val="en-US" w:eastAsia="en-US"/>
    </w:rPr>
  </w:style>
  <w:style w:type="paragraph" w:styleId="Ttulo">
    <w:name w:val="Title"/>
    <w:basedOn w:val="Normal1"/>
    <w:next w:val="Normal1"/>
    <w:pPr>
      <w:keepNext/>
      <w:keepLines/>
      <w:spacing w:before="480" w:after="120"/>
      <w:contextualSpacing/>
    </w:pPr>
    <w:rPr>
      <w:b/>
      <w:sz w:val="72"/>
      <w:szCs w:val="72"/>
    </w:rPr>
  </w:style>
  <w:style w:type="paragraph" w:styleId="Subttulo">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37581"/>
    <w:rPr>
      <w:rFonts w:ascii="Lucida Grande" w:hAnsi="Lucida Grande" w:cs="Calibri"/>
      <w:color w:val="000000"/>
      <w:sz w:val="18"/>
      <w:szCs w:val="18"/>
      <w:lang w:val="en-US" w:eastAsia="en-US"/>
    </w:rPr>
  </w:style>
  <w:style w:type="character" w:customStyle="1" w:styleId="TextodegloboCar">
    <w:name w:val="Texto de globo Car"/>
    <w:link w:val="Textodeglobo"/>
    <w:uiPriority w:val="99"/>
    <w:semiHidden/>
    <w:rsid w:val="00D37581"/>
    <w:rPr>
      <w:rFonts w:ascii="Lucida Grande" w:hAnsi="Lucida Grande"/>
      <w:sz w:val="18"/>
      <w:szCs w:val="18"/>
    </w:rPr>
  </w:style>
  <w:style w:type="paragraph" w:styleId="Encabezado">
    <w:name w:val="header"/>
    <w:basedOn w:val="Normal"/>
    <w:link w:val="EncabezadoCar"/>
    <w:uiPriority w:val="99"/>
    <w:unhideWhenUsed/>
    <w:rsid w:val="00994A44"/>
    <w:pPr>
      <w:tabs>
        <w:tab w:val="center" w:pos="4320"/>
        <w:tab w:val="right" w:pos="8640"/>
      </w:tabs>
    </w:pPr>
    <w:rPr>
      <w:rFonts w:ascii="Calibri" w:hAnsi="Calibri" w:cs="Calibri"/>
      <w:color w:val="000000"/>
      <w:sz w:val="22"/>
      <w:szCs w:val="22"/>
      <w:lang w:val="en-US" w:eastAsia="en-US"/>
    </w:rPr>
  </w:style>
  <w:style w:type="character" w:customStyle="1" w:styleId="EncabezadoCar">
    <w:name w:val="Encabezado Car"/>
    <w:basedOn w:val="Fuentedeprrafopredeter"/>
    <w:link w:val="Encabezado"/>
    <w:uiPriority w:val="99"/>
    <w:rsid w:val="00994A44"/>
  </w:style>
  <w:style w:type="paragraph" w:styleId="Piedepgina">
    <w:name w:val="footer"/>
    <w:basedOn w:val="Normal"/>
    <w:link w:val="PiedepginaCar"/>
    <w:uiPriority w:val="99"/>
    <w:unhideWhenUsed/>
    <w:rsid w:val="00994A44"/>
    <w:pPr>
      <w:tabs>
        <w:tab w:val="center" w:pos="4320"/>
        <w:tab w:val="right" w:pos="8640"/>
      </w:tabs>
    </w:pPr>
    <w:rPr>
      <w:rFonts w:ascii="Calibri" w:hAnsi="Calibri" w:cs="Calibri"/>
      <w:color w:val="000000"/>
      <w:sz w:val="22"/>
      <w:szCs w:val="22"/>
      <w:lang w:val="en-US" w:eastAsia="en-US"/>
    </w:rPr>
  </w:style>
  <w:style w:type="character" w:customStyle="1" w:styleId="PiedepginaCar">
    <w:name w:val="Pie de página Car"/>
    <w:basedOn w:val="Fuentedeprrafopredeter"/>
    <w:link w:val="Piedepgina"/>
    <w:uiPriority w:val="99"/>
    <w:rsid w:val="00994A44"/>
  </w:style>
  <w:style w:type="character" w:styleId="Nmerodepgina">
    <w:name w:val="page number"/>
    <w:basedOn w:val="Fuentedeprrafopredeter"/>
    <w:uiPriority w:val="99"/>
    <w:semiHidden/>
    <w:unhideWhenUsed/>
    <w:rsid w:val="00994A44"/>
  </w:style>
  <w:style w:type="paragraph" w:customStyle="1" w:styleId="Normal11">
    <w:name w:val="Normal11"/>
    <w:rsid w:val="008E7B36"/>
    <w:pPr>
      <w:spacing w:after="200" w:line="276" w:lineRule="auto"/>
    </w:pPr>
    <w:rPr>
      <w:color w:val="000000"/>
      <w:sz w:val="22"/>
      <w:szCs w:val="22"/>
      <w:lang w:val="en-US" w:eastAsia="en-US"/>
    </w:rPr>
  </w:style>
  <w:style w:type="character" w:styleId="Refdecomentario">
    <w:name w:val="annotation reference"/>
    <w:uiPriority w:val="99"/>
    <w:semiHidden/>
    <w:unhideWhenUsed/>
    <w:rsid w:val="00B86D66"/>
    <w:rPr>
      <w:sz w:val="18"/>
      <w:szCs w:val="18"/>
    </w:rPr>
  </w:style>
  <w:style w:type="paragraph" w:styleId="Textocomentario">
    <w:name w:val="annotation text"/>
    <w:basedOn w:val="Normal"/>
    <w:link w:val="TextocomentarioCar"/>
    <w:uiPriority w:val="99"/>
    <w:semiHidden/>
    <w:unhideWhenUsed/>
    <w:rsid w:val="00B86D66"/>
    <w:pPr>
      <w:spacing w:after="200"/>
    </w:pPr>
    <w:rPr>
      <w:rFonts w:ascii="Calibri" w:hAnsi="Calibri" w:cs="Calibri"/>
      <w:color w:val="000000"/>
      <w:lang w:val="en-US" w:eastAsia="en-US"/>
    </w:rPr>
  </w:style>
  <w:style w:type="character" w:customStyle="1" w:styleId="TextocomentarioCar">
    <w:name w:val="Texto comentario Car"/>
    <w:link w:val="Textocomentario"/>
    <w:uiPriority w:val="99"/>
    <w:semiHidden/>
    <w:rsid w:val="00B86D66"/>
    <w:rPr>
      <w:sz w:val="24"/>
      <w:szCs w:val="24"/>
    </w:rPr>
  </w:style>
  <w:style w:type="paragraph" w:styleId="Asuntodelcomentario">
    <w:name w:val="annotation subject"/>
    <w:basedOn w:val="Textocomentario"/>
    <w:next w:val="Textocomentario"/>
    <w:link w:val="AsuntodelcomentarioCar"/>
    <w:uiPriority w:val="99"/>
    <w:semiHidden/>
    <w:unhideWhenUsed/>
    <w:rsid w:val="00B86D66"/>
    <w:rPr>
      <w:b/>
      <w:bCs/>
      <w:sz w:val="20"/>
      <w:szCs w:val="20"/>
    </w:rPr>
  </w:style>
  <w:style w:type="character" w:customStyle="1" w:styleId="AsuntodelcomentarioCar">
    <w:name w:val="Asunto del comentario Car"/>
    <w:link w:val="Asuntodelcomentario"/>
    <w:uiPriority w:val="99"/>
    <w:semiHidden/>
    <w:rsid w:val="00B86D66"/>
    <w:rPr>
      <w:b/>
      <w:bCs/>
      <w:sz w:val="20"/>
      <w:szCs w:val="20"/>
    </w:rPr>
  </w:style>
  <w:style w:type="paragraph" w:styleId="Textonotapie">
    <w:name w:val="footnote text"/>
    <w:basedOn w:val="Normal"/>
    <w:link w:val="TextonotapieCar"/>
    <w:uiPriority w:val="99"/>
    <w:unhideWhenUsed/>
    <w:rsid w:val="00EC4A69"/>
    <w:rPr>
      <w:rFonts w:ascii="Cambria" w:eastAsia="MS Mincho" w:hAnsi="Cambria"/>
    </w:rPr>
  </w:style>
  <w:style w:type="character" w:customStyle="1" w:styleId="TextonotapieCar">
    <w:name w:val="Texto nota pie Car"/>
    <w:link w:val="Textonotapie"/>
    <w:uiPriority w:val="99"/>
    <w:rsid w:val="00EC4A69"/>
    <w:rPr>
      <w:rFonts w:ascii="Cambria" w:eastAsia="MS Mincho" w:hAnsi="Cambria" w:cs="Times New Roman"/>
      <w:color w:val="auto"/>
      <w:sz w:val="24"/>
      <w:szCs w:val="24"/>
      <w:lang w:val="es-ES_tradnl" w:eastAsia="es-ES_tradnl"/>
    </w:rPr>
  </w:style>
  <w:style w:type="character" w:styleId="Refdenotaalpie">
    <w:name w:val="footnote reference"/>
    <w:uiPriority w:val="99"/>
    <w:unhideWhenUsed/>
    <w:rsid w:val="00EC4A69"/>
    <w:rPr>
      <w:vertAlign w:val="superscript"/>
    </w:rPr>
  </w:style>
  <w:style w:type="character" w:styleId="Hipervnculo">
    <w:name w:val="Hyperlink"/>
    <w:uiPriority w:val="99"/>
    <w:unhideWhenUsed/>
    <w:rsid w:val="004B063E"/>
    <w:rPr>
      <w:color w:val="0000FF"/>
      <w:u w:val="single"/>
    </w:rPr>
  </w:style>
  <w:style w:type="paragraph" w:customStyle="1" w:styleId="biblio">
    <w:name w:val="biblio"/>
    <w:basedOn w:val="Normal11"/>
    <w:qFormat/>
    <w:rsid w:val="004B063E"/>
    <w:pPr>
      <w:spacing w:after="0" w:line="480" w:lineRule="auto"/>
      <w:ind w:left="360" w:hanging="360"/>
    </w:pPr>
    <w:rPr>
      <w:rFonts w:ascii="Times New Roman" w:eastAsia="Times New Roman" w:hAnsi="Times New Roman" w:cs="Times New Roman"/>
      <w:sz w:val="24"/>
      <w:szCs w:val="24"/>
    </w:rPr>
  </w:style>
  <w:style w:type="paragraph" w:styleId="Revisin">
    <w:name w:val="Revision"/>
    <w:hidden/>
    <w:uiPriority w:val="99"/>
    <w:semiHidden/>
    <w:rsid w:val="00B06128"/>
    <w:rPr>
      <w:color w:val="000000"/>
      <w:sz w:val="22"/>
      <w:szCs w:val="22"/>
      <w:lang w:val="en-US" w:eastAsia="en-US"/>
    </w:rPr>
  </w:style>
  <w:style w:type="paragraph" w:customStyle="1" w:styleId="TextoAPA">
    <w:name w:val="Texto APA"/>
    <w:basedOn w:val="Normal11"/>
    <w:qFormat/>
    <w:rsid w:val="004D0D6E"/>
    <w:pPr>
      <w:spacing w:after="0" w:line="480" w:lineRule="auto"/>
      <w:ind w:firstLine="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A7BF8"/>
  </w:style>
  <w:style w:type="paragraph" w:customStyle="1" w:styleId="Sombreadomulticolor-nfasis31">
    <w:name w:val="Sombreado multicolor - Énfasis 31"/>
    <w:basedOn w:val="Normal"/>
    <w:uiPriority w:val="34"/>
    <w:qFormat/>
    <w:rsid w:val="006C26C8"/>
    <w:pPr>
      <w:spacing w:after="200" w:line="276" w:lineRule="auto"/>
      <w:ind w:left="720"/>
      <w:contextualSpacing/>
    </w:pPr>
    <w:rPr>
      <w:rFonts w:ascii="Cambria" w:eastAsia="Cambria" w:hAnsi="Cambria"/>
      <w:noProof/>
      <w:sz w:val="22"/>
      <w:szCs w:val="22"/>
      <w:lang w:val="en-US" w:eastAsia="en-US"/>
    </w:rPr>
  </w:style>
  <w:style w:type="table" w:styleId="Tablanormal3">
    <w:name w:val="Plain Table 3"/>
    <w:basedOn w:val="Tablanormal"/>
    <w:uiPriority w:val="43"/>
    <w:rsid w:val="00F7033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F7033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clara">
    <w:name w:val="Grid Table Light"/>
    <w:basedOn w:val="Tablanormal"/>
    <w:uiPriority w:val="40"/>
    <w:rsid w:val="005357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ibliografa">
    <w:name w:val="bibliografía"/>
    <w:basedOn w:val="NormalWeb"/>
    <w:qFormat/>
    <w:rsid w:val="004E0210"/>
    <w:pPr>
      <w:spacing w:before="100" w:beforeAutospacing="1" w:after="100" w:afterAutospacing="1" w:line="480" w:lineRule="auto"/>
      <w:ind w:left="450" w:hanging="450"/>
    </w:pPr>
    <w:rPr>
      <w:rFonts w:eastAsia="Times New Roman"/>
      <w:lang w:val="en-US" w:eastAsia="en-US"/>
    </w:rPr>
  </w:style>
  <w:style w:type="paragraph" w:customStyle="1" w:styleId="paper">
    <w:name w:val="paper"/>
    <w:basedOn w:val="Normal"/>
    <w:qFormat/>
    <w:rsid w:val="00AE213C"/>
    <w:pPr>
      <w:shd w:val="clear" w:color="auto" w:fill="FFFFFF"/>
      <w:spacing w:afterLines="120" w:after="288" w:line="480" w:lineRule="auto"/>
      <w:ind w:firstLine="720"/>
      <w:contextualSpacing/>
    </w:pPr>
    <w:rPr>
      <w:rFonts w:eastAsia="Times New Roman"/>
      <w:lang w:val="en-US" w:eastAsia="en-US"/>
    </w:rPr>
  </w:style>
  <w:style w:type="table" w:customStyle="1" w:styleId="TableNormal">
    <w:name w:val="Table Normal"/>
    <w:uiPriority w:val="2"/>
    <w:semiHidden/>
    <w:unhideWhenUsed/>
    <w:qFormat/>
    <w:rsid w:val="00F65D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65DFC"/>
    <w:pPr>
      <w:widowControl w:val="0"/>
      <w:autoSpaceDE w:val="0"/>
      <w:autoSpaceDN w:val="0"/>
    </w:pPr>
    <w:rPr>
      <w:rFonts w:ascii="Cambria" w:eastAsia="Cambria" w:hAnsi="Cambria" w:cs="Cambri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0638">
      <w:bodyDiv w:val="1"/>
      <w:marLeft w:val="0"/>
      <w:marRight w:val="0"/>
      <w:marTop w:val="0"/>
      <w:marBottom w:val="0"/>
      <w:divBdr>
        <w:top w:val="none" w:sz="0" w:space="0" w:color="auto"/>
        <w:left w:val="none" w:sz="0" w:space="0" w:color="auto"/>
        <w:bottom w:val="none" w:sz="0" w:space="0" w:color="auto"/>
        <w:right w:val="none" w:sz="0" w:space="0" w:color="auto"/>
      </w:divBdr>
      <w:divsChild>
        <w:div w:id="912084033">
          <w:marLeft w:val="0"/>
          <w:marRight w:val="0"/>
          <w:marTop w:val="0"/>
          <w:marBottom w:val="0"/>
          <w:divBdr>
            <w:top w:val="none" w:sz="0" w:space="0" w:color="auto"/>
            <w:left w:val="none" w:sz="0" w:space="0" w:color="auto"/>
            <w:bottom w:val="none" w:sz="0" w:space="0" w:color="auto"/>
            <w:right w:val="none" w:sz="0" w:space="0" w:color="auto"/>
          </w:divBdr>
          <w:divsChild>
            <w:div w:id="407190063">
              <w:marLeft w:val="0"/>
              <w:marRight w:val="0"/>
              <w:marTop w:val="0"/>
              <w:marBottom w:val="0"/>
              <w:divBdr>
                <w:top w:val="none" w:sz="0" w:space="0" w:color="auto"/>
                <w:left w:val="none" w:sz="0" w:space="0" w:color="auto"/>
                <w:bottom w:val="none" w:sz="0" w:space="0" w:color="auto"/>
                <w:right w:val="none" w:sz="0" w:space="0" w:color="auto"/>
              </w:divBdr>
              <w:divsChild>
                <w:div w:id="82551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09728">
      <w:bodyDiv w:val="1"/>
      <w:marLeft w:val="0"/>
      <w:marRight w:val="0"/>
      <w:marTop w:val="0"/>
      <w:marBottom w:val="0"/>
      <w:divBdr>
        <w:top w:val="none" w:sz="0" w:space="0" w:color="auto"/>
        <w:left w:val="none" w:sz="0" w:space="0" w:color="auto"/>
        <w:bottom w:val="none" w:sz="0" w:space="0" w:color="auto"/>
        <w:right w:val="none" w:sz="0" w:space="0" w:color="auto"/>
      </w:divBdr>
      <w:divsChild>
        <w:div w:id="1538545837">
          <w:marLeft w:val="0"/>
          <w:marRight w:val="0"/>
          <w:marTop w:val="0"/>
          <w:marBottom w:val="0"/>
          <w:divBdr>
            <w:top w:val="none" w:sz="0" w:space="0" w:color="auto"/>
            <w:left w:val="none" w:sz="0" w:space="0" w:color="auto"/>
            <w:bottom w:val="none" w:sz="0" w:space="0" w:color="auto"/>
            <w:right w:val="none" w:sz="0" w:space="0" w:color="auto"/>
          </w:divBdr>
          <w:divsChild>
            <w:div w:id="863833635">
              <w:marLeft w:val="0"/>
              <w:marRight w:val="0"/>
              <w:marTop w:val="0"/>
              <w:marBottom w:val="0"/>
              <w:divBdr>
                <w:top w:val="none" w:sz="0" w:space="0" w:color="auto"/>
                <w:left w:val="none" w:sz="0" w:space="0" w:color="auto"/>
                <w:bottom w:val="none" w:sz="0" w:space="0" w:color="auto"/>
                <w:right w:val="none" w:sz="0" w:space="0" w:color="auto"/>
              </w:divBdr>
              <w:divsChild>
                <w:div w:id="1988195624">
                  <w:marLeft w:val="0"/>
                  <w:marRight w:val="0"/>
                  <w:marTop w:val="0"/>
                  <w:marBottom w:val="0"/>
                  <w:divBdr>
                    <w:top w:val="none" w:sz="0" w:space="0" w:color="auto"/>
                    <w:left w:val="none" w:sz="0" w:space="0" w:color="auto"/>
                    <w:bottom w:val="none" w:sz="0" w:space="0" w:color="auto"/>
                    <w:right w:val="none" w:sz="0" w:space="0" w:color="auto"/>
                  </w:divBdr>
                  <w:divsChild>
                    <w:div w:id="194184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15041">
      <w:bodyDiv w:val="1"/>
      <w:marLeft w:val="0"/>
      <w:marRight w:val="0"/>
      <w:marTop w:val="0"/>
      <w:marBottom w:val="0"/>
      <w:divBdr>
        <w:top w:val="none" w:sz="0" w:space="0" w:color="auto"/>
        <w:left w:val="none" w:sz="0" w:space="0" w:color="auto"/>
        <w:bottom w:val="none" w:sz="0" w:space="0" w:color="auto"/>
        <w:right w:val="none" w:sz="0" w:space="0" w:color="auto"/>
      </w:divBdr>
    </w:div>
    <w:div w:id="197008423">
      <w:bodyDiv w:val="1"/>
      <w:marLeft w:val="0"/>
      <w:marRight w:val="0"/>
      <w:marTop w:val="0"/>
      <w:marBottom w:val="0"/>
      <w:divBdr>
        <w:top w:val="none" w:sz="0" w:space="0" w:color="auto"/>
        <w:left w:val="none" w:sz="0" w:space="0" w:color="auto"/>
        <w:bottom w:val="none" w:sz="0" w:space="0" w:color="auto"/>
        <w:right w:val="none" w:sz="0" w:space="0" w:color="auto"/>
      </w:divBdr>
    </w:div>
    <w:div w:id="272396790">
      <w:bodyDiv w:val="1"/>
      <w:marLeft w:val="0"/>
      <w:marRight w:val="0"/>
      <w:marTop w:val="0"/>
      <w:marBottom w:val="0"/>
      <w:divBdr>
        <w:top w:val="none" w:sz="0" w:space="0" w:color="auto"/>
        <w:left w:val="none" w:sz="0" w:space="0" w:color="auto"/>
        <w:bottom w:val="none" w:sz="0" w:space="0" w:color="auto"/>
        <w:right w:val="none" w:sz="0" w:space="0" w:color="auto"/>
      </w:divBdr>
    </w:div>
    <w:div w:id="291836210">
      <w:bodyDiv w:val="1"/>
      <w:marLeft w:val="0"/>
      <w:marRight w:val="0"/>
      <w:marTop w:val="0"/>
      <w:marBottom w:val="0"/>
      <w:divBdr>
        <w:top w:val="none" w:sz="0" w:space="0" w:color="auto"/>
        <w:left w:val="none" w:sz="0" w:space="0" w:color="auto"/>
        <w:bottom w:val="none" w:sz="0" w:space="0" w:color="auto"/>
        <w:right w:val="none" w:sz="0" w:space="0" w:color="auto"/>
      </w:divBdr>
    </w:div>
    <w:div w:id="358744885">
      <w:bodyDiv w:val="1"/>
      <w:marLeft w:val="0"/>
      <w:marRight w:val="0"/>
      <w:marTop w:val="0"/>
      <w:marBottom w:val="0"/>
      <w:divBdr>
        <w:top w:val="none" w:sz="0" w:space="0" w:color="auto"/>
        <w:left w:val="none" w:sz="0" w:space="0" w:color="auto"/>
        <w:bottom w:val="none" w:sz="0" w:space="0" w:color="auto"/>
        <w:right w:val="none" w:sz="0" w:space="0" w:color="auto"/>
      </w:divBdr>
    </w:div>
    <w:div w:id="402140781">
      <w:bodyDiv w:val="1"/>
      <w:marLeft w:val="0"/>
      <w:marRight w:val="0"/>
      <w:marTop w:val="0"/>
      <w:marBottom w:val="0"/>
      <w:divBdr>
        <w:top w:val="none" w:sz="0" w:space="0" w:color="auto"/>
        <w:left w:val="none" w:sz="0" w:space="0" w:color="auto"/>
        <w:bottom w:val="none" w:sz="0" w:space="0" w:color="auto"/>
        <w:right w:val="none" w:sz="0" w:space="0" w:color="auto"/>
      </w:divBdr>
    </w:div>
    <w:div w:id="411897495">
      <w:bodyDiv w:val="1"/>
      <w:marLeft w:val="0"/>
      <w:marRight w:val="0"/>
      <w:marTop w:val="0"/>
      <w:marBottom w:val="0"/>
      <w:divBdr>
        <w:top w:val="none" w:sz="0" w:space="0" w:color="auto"/>
        <w:left w:val="none" w:sz="0" w:space="0" w:color="auto"/>
        <w:bottom w:val="none" w:sz="0" w:space="0" w:color="auto"/>
        <w:right w:val="none" w:sz="0" w:space="0" w:color="auto"/>
      </w:divBdr>
    </w:div>
    <w:div w:id="674302350">
      <w:bodyDiv w:val="1"/>
      <w:marLeft w:val="0"/>
      <w:marRight w:val="0"/>
      <w:marTop w:val="0"/>
      <w:marBottom w:val="0"/>
      <w:divBdr>
        <w:top w:val="none" w:sz="0" w:space="0" w:color="auto"/>
        <w:left w:val="none" w:sz="0" w:space="0" w:color="auto"/>
        <w:bottom w:val="none" w:sz="0" w:space="0" w:color="auto"/>
        <w:right w:val="none" w:sz="0" w:space="0" w:color="auto"/>
      </w:divBdr>
      <w:divsChild>
        <w:div w:id="859396337">
          <w:marLeft w:val="0"/>
          <w:marRight w:val="0"/>
          <w:marTop w:val="0"/>
          <w:marBottom w:val="0"/>
          <w:divBdr>
            <w:top w:val="none" w:sz="0" w:space="0" w:color="auto"/>
            <w:left w:val="none" w:sz="0" w:space="0" w:color="auto"/>
            <w:bottom w:val="none" w:sz="0" w:space="0" w:color="auto"/>
            <w:right w:val="none" w:sz="0" w:space="0" w:color="auto"/>
          </w:divBdr>
          <w:divsChild>
            <w:div w:id="578637080">
              <w:marLeft w:val="0"/>
              <w:marRight w:val="0"/>
              <w:marTop w:val="0"/>
              <w:marBottom w:val="0"/>
              <w:divBdr>
                <w:top w:val="none" w:sz="0" w:space="0" w:color="auto"/>
                <w:left w:val="none" w:sz="0" w:space="0" w:color="auto"/>
                <w:bottom w:val="none" w:sz="0" w:space="0" w:color="auto"/>
                <w:right w:val="none" w:sz="0" w:space="0" w:color="auto"/>
              </w:divBdr>
              <w:divsChild>
                <w:div w:id="16027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72191">
      <w:bodyDiv w:val="1"/>
      <w:marLeft w:val="0"/>
      <w:marRight w:val="0"/>
      <w:marTop w:val="0"/>
      <w:marBottom w:val="0"/>
      <w:divBdr>
        <w:top w:val="none" w:sz="0" w:space="0" w:color="auto"/>
        <w:left w:val="none" w:sz="0" w:space="0" w:color="auto"/>
        <w:bottom w:val="none" w:sz="0" w:space="0" w:color="auto"/>
        <w:right w:val="none" w:sz="0" w:space="0" w:color="auto"/>
      </w:divBdr>
    </w:div>
    <w:div w:id="728312171">
      <w:bodyDiv w:val="1"/>
      <w:marLeft w:val="0"/>
      <w:marRight w:val="0"/>
      <w:marTop w:val="0"/>
      <w:marBottom w:val="0"/>
      <w:divBdr>
        <w:top w:val="none" w:sz="0" w:space="0" w:color="auto"/>
        <w:left w:val="none" w:sz="0" w:space="0" w:color="auto"/>
        <w:bottom w:val="none" w:sz="0" w:space="0" w:color="auto"/>
        <w:right w:val="none" w:sz="0" w:space="0" w:color="auto"/>
      </w:divBdr>
      <w:divsChild>
        <w:div w:id="1941138524">
          <w:marLeft w:val="0"/>
          <w:marRight w:val="0"/>
          <w:marTop w:val="0"/>
          <w:marBottom w:val="0"/>
          <w:divBdr>
            <w:top w:val="none" w:sz="0" w:space="0" w:color="auto"/>
            <w:left w:val="none" w:sz="0" w:space="0" w:color="auto"/>
            <w:bottom w:val="none" w:sz="0" w:space="0" w:color="auto"/>
            <w:right w:val="none" w:sz="0" w:space="0" w:color="auto"/>
          </w:divBdr>
          <w:divsChild>
            <w:div w:id="799961205">
              <w:marLeft w:val="0"/>
              <w:marRight w:val="0"/>
              <w:marTop w:val="0"/>
              <w:marBottom w:val="0"/>
              <w:divBdr>
                <w:top w:val="none" w:sz="0" w:space="0" w:color="auto"/>
                <w:left w:val="none" w:sz="0" w:space="0" w:color="auto"/>
                <w:bottom w:val="none" w:sz="0" w:space="0" w:color="auto"/>
                <w:right w:val="none" w:sz="0" w:space="0" w:color="auto"/>
              </w:divBdr>
              <w:divsChild>
                <w:div w:id="31164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704945">
      <w:bodyDiv w:val="1"/>
      <w:marLeft w:val="0"/>
      <w:marRight w:val="0"/>
      <w:marTop w:val="0"/>
      <w:marBottom w:val="0"/>
      <w:divBdr>
        <w:top w:val="none" w:sz="0" w:space="0" w:color="auto"/>
        <w:left w:val="none" w:sz="0" w:space="0" w:color="auto"/>
        <w:bottom w:val="none" w:sz="0" w:space="0" w:color="auto"/>
        <w:right w:val="none" w:sz="0" w:space="0" w:color="auto"/>
      </w:divBdr>
    </w:div>
    <w:div w:id="956983788">
      <w:bodyDiv w:val="1"/>
      <w:marLeft w:val="0"/>
      <w:marRight w:val="0"/>
      <w:marTop w:val="0"/>
      <w:marBottom w:val="0"/>
      <w:divBdr>
        <w:top w:val="none" w:sz="0" w:space="0" w:color="auto"/>
        <w:left w:val="none" w:sz="0" w:space="0" w:color="auto"/>
        <w:bottom w:val="none" w:sz="0" w:space="0" w:color="auto"/>
        <w:right w:val="none" w:sz="0" w:space="0" w:color="auto"/>
      </w:divBdr>
      <w:divsChild>
        <w:div w:id="406849871">
          <w:marLeft w:val="0"/>
          <w:marRight w:val="0"/>
          <w:marTop w:val="0"/>
          <w:marBottom w:val="0"/>
          <w:divBdr>
            <w:top w:val="none" w:sz="0" w:space="0" w:color="auto"/>
            <w:left w:val="none" w:sz="0" w:space="0" w:color="auto"/>
            <w:bottom w:val="none" w:sz="0" w:space="0" w:color="auto"/>
            <w:right w:val="none" w:sz="0" w:space="0" w:color="auto"/>
          </w:divBdr>
          <w:divsChild>
            <w:div w:id="813565282">
              <w:marLeft w:val="0"/>
              <w:marRight w:val="0"/>
              <w:marTop w:val="0"/>
              <w:marBottom w:val="0"/>
              <w:divBdr>
                <w:top w:val="none" w:sz="0" w:space="0" w:color="auto"/>
                <w:left w:val="none" w:sz="0" w:space="0" w:color="auto"/>
                <w:bottom w:val="none" w:sz="0" w:space="0" w:color="auto"/>
                <w:right w:val="none" w:sz="0" w:space="0" w:color="auto"/>
              </w:divBdr>
              <w:divsChild>
                <w:div w:id="71998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087635">
      <w:bodyDiv w:val="1"/>
      <w:marLeft w:val="0"/>
      <w:marRight w:val="0"/>
      <w:marTop w:val="0"/>
      <w:marBottom w:val="0"/>
      <w:divBdr>
        <w:top w:val="none" w:sz="0" w:space="0" w:color="auto"/>
        <w:left w:val="none" w:sz="0" w:space="0" w:color="auto"/>
        <w:bottom w:val="none" w:sz="0" w:space="0" w:color="auto"/>
        <w:right w:val="none" w:sz="0" w:space="0" w:color="auto"/>
      </w:divBdr>
    </w:div>
    <w:div w:id="1236361917">
      <w:bodyDiv w:val="1"/>
      <w:marLeft w:val="0"/>
      <w:marRight w:val="0"/>
      <w:marTop w:val="0"/>
      <w:marBottom w:val="0"/>
      <w:divBdr>
        <w:top w:val="none" w:sz="0" w:space="0" w:color="auto"/>
        <w:left w:val="none" w:sz="0" w:space="0" w:color="auto"/>
        <w:bottom w:val="none" w:sz="0" w:space="0" w:color="auto"/>
        <w:right w:val="none" w:sz="0" w:space="0" w:color="auto"/>
      </w:divBdr>
      <w:divsChild>
        <w:div w:id="596208633">
          <w:marLeft w:val="0"/>
          <w:marRight w:val="0"/>
          <w:marTop w:val="0"/>
          <w:marBottom w:val="0"/>
          <w:divBdr>
            <w:top w:val="none" w:sz="0" w:space="0" w:color="auto"/>
            <w:left w:val="none" w:sz="0" w:space="0" w:color="auto"/>
            <w:bottom w:val="none" w:sz="0" w:space="0" w:color="auto"/>
            <w:right w:val="none" w:sz="0" w:space="0" w:color="auto"/>
          </w:divBdr>
          <w:divsChild>
            <w:div w:id="2075005694">
              <w:marLeft w:val="0"/>
              <w:marRight w:val="0"/>
              <w:marTop w:val="0"/>
              <w:marBottom w:val="0"/>
              <w:divBdr>
                <w:top w:val="none" w:sz="0" w:space="0" w:color="auto"/>
                <w:left w:val="none" w:sz="0" w:space="0" w:color="auto"/>
                <w:bottom w:val="none" w:sz="0" w:space="0" w:color="auto"/>
                <w:right w:val="none" w:sz="0" w:space="0" w:color="auto"/>
              </w:divBdr>
              <w:divsChild>
                <w:div w:id="18413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110467">
      <w:bodyDiv w:val="1"/>
      <w:marLeft w:val="0"/>
      <w:marRight w:val="0"/>
      <w:marTop w:val="0"/>
      <w:marBottom w:val="0"/>
      <w:divBdr>
        <w:top w:val="none" w:sz="0" w:space="0" w:color="auto"/>
        <w:left w:val="none" w:sz="0" w:space="0" w:color="auto"/>
        <w:bottom w:val="none" w:sz="0" w:space="0" w:color="auto"/>
        <w:right w:val="none" w:sz="0" w:space="0" w:color="auto"/>
      </w:divBdr>
    </w:div>
    <w:div w:id="1455440631">
      <w:bodyDiv w:val="1"/>
      <w:marLeft w:val="0"/>
      <w:marRight w:val="0"/>
      <w:marTop w:val="0"/>
      <w:marBottom w:val="0"/>
      <w:divBdr>
        <w:top w:val="none" w:sz="0" w:space="0" w:color="auto"/>
        <w:left w:val="none" w:sz="0" w:space="0" w:color="auto"/>
        <w:bottom w:val="none" w:sz="0" w:space="0" w:color="auto"/>
        <w:right w:val="none" w:sz="0" w:space="0" w:color="auto"/>
      </w:divBdr>
    </w:div>
    <w:div w:id="1553543935">
      <w:bodyDiv w:val="1"/>
      <w:marLeft w:val="0"/>
      <w:marRight w:val="0"/>
      <w:marTop w:val="0"/>
      <w:marBottom w:val="0"/>
      <w:divBdr>
        <w:top w:val="none" w:sz="0" w:space="0" w:color="auto"/>
        <w:left w:val="none" w:sz="0" w:space="0" w:color="auto"/>
        <w:bottom w:val="none" w:sz="0" w:space="0" w:color="auto"/>
        <w:right w:val="none" w:sz="0" w:space="0" w:color="auto"/>
      </w:divBdr>
    </w:div>
    <w:div w:id="1556509572">
      <w:bodyDiv w:val="1"/>
      <w:marLeft w:val="0"/>
      <w:marRight w:val="0"/>
      <w:marTop w:val="0"/>
      <w:marBottom w:val="0"/>
      <w:divBdr>
        <w:top w:val="none" w:sz="0" w:space="0" w:color="auto"/>
        <w:left w:val="none" w:sz="0" w:space="0" w:color="auto"/>
        <w:bottom w:val="none" w:sz="0" w:space="0" w:color="auto"/>
        <w:right w:val="none" w:sz="0" w:space="0" w:color="auto"/>
      </w:divBdr>
    </w:div>
    <w:div w:id="1591549017">
      <w:bodyDiv w:val="1"/>
      <w:marLeft w:val="0"/>
      <w:marRight w:val="0"/>
      <w:marTop w:val="0"/>
      <w:marBottom w:val="0"/>
      <w:divBdr>
        <w:top w:val="none" w:sz="0" w:space="0" w:color="auto"/>
        <w:left w:val="none" w:sz="0" w:space="0" w:color="auto"/>
        <w:bottom w:val="none" w:sz="0" w:space="0" w:color="auto"/>
        <w:right w:val="none" w:sz="0" w:space="0" w:color="auto"/>
      </w:divBdr>
    </w:div>
    <w:div w:id="1638031527">
      <w:bodyDiv w:val="1"/>
      <w:marLeft w:val="0"/>
      <w:marRight w:val="0"/>
      <w:marTop w:val="0"/>
      <w:marBottom w:val="0"/>
      <w:divBdr>
        <w:top w:val="none" w:sz="0" w:space="0" w:color="auto"/>
        <w:left w:val="none" w:sz="0" w:space="0" w:color="auto"/>
        <w:bottom w:val="none" w:sz="0" w:space="0" w:color="auto"/>
        <w:right w:val="none" w:sz="0" w:space="0" w:color="auto"/>
      </w:divBdr>
    </w:div>
    <w:div w:id="1644121046">
      <w:bodyDiv w:val="1"/>
      <w:marLeft w:val="0"/>
      <w:marRight w:val="0"/>
      <w:marTop w:val="0"/>
      <w:marBottom w:val="0"/>
      <w:divBdr>
        <w:top w:val="none" w:sz="0" w:space="0" w:color="auto"/>
        <w:left w:val="none" w:sz="0" w:space="0" w:color="auto"/>
        <w:bottom w:val="none" w:sz="0" w:space="0" w:color="auto"/>
        <w:right w:val="none" w:sz="0" w:space="0" w:color="auto"/>
      </w:divBdr>
    </w:div>
    <w:div w:id="1681733759">
      <w:bodyDiv w:val="1"/>
      <w:marLeft w:val="0"/>
      <w:marRight w:val="0"/>
      <w:marTop w:val="0"/>
      <w:marBottom w:val="0"/>
      <w:divBdr>
        <w:top w:val="none" w:sz="0" w:space="0" w:color="auto"/>
        <w:left w:val="none" w:sz="0" w:space="0" w:color="auto"/>
        <w:bottom w:val="none" w:sz="0" w:space="0" w:color="auto"/>
        <w:right w:val="none" w:sz="0" w:space="0" w:color="auto"/>
      </w:divBdr>
    </w:div>
    <w:div w:id="1716538621">
      <w:bodyDiv w:val="1"/>
      <w:marLeft w:val="0"/>
      <w:marRight w:val="0"/>
      <w:marTop w:val="0"/>
      <w:marBottom w:val="0"/>
      <w:divBdr>
        <w:top w:val="none" w:sz="0" w:space="0" w:color="auto"/>
        <w:left w:val="none" w:sz="0" w:space="0" w:color="auto"/>
        <w:bottom w:val="none" w:sz="0" w:space="0" w:color="auto"/>
        <w:right w:val="none" w:sz="0" w:space="0" w:color="auto"/>
      </w:divBdr>
    </w:div>
    <w:div w:id="1716813350">
      <w:bodyDiv w:val="1"/>
      <w:marLeft w:val="0"/>
      <w:marRight w:val="0"/>
      <w:marTop w:val="0"/>
      <w:marBottom w:val="0"/>
      <w:divBdr>
        <w:top w:val="none" w:sz="0" w:space="0" w:color="auto"/>
        <w:left w:val="none" w:sz="0" w:space="0" w:color="auto"/>
        <w:bottom w:val="none" w:sz="0" w:space="0" w:color="auto"/>
        <w:right w:val="none" w:sz="0" w:space="0" w:color="auto"/>
      </w:divBdr>
      <w:divsChild>
        <w:div w:id="1801071872">
          <w:marLeft w:val="0"/>
          <w:marRight w:val="0"/>
          <w:marTop w:val="0"/>
          <w:marBottom w:val="0"/>
          <w:divBdr>
            <w:top w:val="none" w:sz="0" w:space="0" w:color="auto"/>
            <w:left w:val="none" w:sz="0" w:space="0" w:color="auto"/>
            <w:bottom w:val="none" w:sz="0" w:space="0" w:color="auto"/>
            <w:right w:val="none" w:sz="0" w:space="0" w:color="auto"/>
          </w:divBdr>
          <w:divsChild>
            <w:div w:id="1532524271">
              <w:marLeft w:val="0"/>
              <w:marRight w:val="0"/>
              <w:marTop w:val="0"/>
              <w:marBottom w:val="0"/>
              <w:divBdr>
                <w:top w:val="none" w:sz="0" w:space="0" w:color="auto"/>
                <w:left w:val="none" w:sz="0" w:space="0" w:color="auto"/>
                <w:bottom w:val="none" w:sz="0" w:space="0" w:color="auto"/>
                <w:right w:val="none" w:sz="0" w:space="0" w:color="auto"/>
              </w:divBdr>
              <w:divsChild>
                <w:div w:id="68683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638808">
      <w:bodyDiv w:val="1"/>
      <w:marLeft w:val="0"/>
      <w:marRight w:val="0"/>
      <w:marTop w:val="0"/>
      <w:marBottom w:val="0"/>
      <w:divBdr>
        <w:top w:val="none" w:sz="0" w:space="0" w:color="auto"/>
        <w:left w:val="none" w:sz="0" w:space="0" w:color="auto"/>
        <w:bottom w:val="none" w:sz="0" w:space="0" w:color="auto"/>
        <w:right w:val="none" w:sz="0" w:space="0" w:color="auto"/>
      </w:divBdr>
      <w:divsChild>
        <w:div w:id="1633708102">
          <w:marLeft w:val="0"/>
          <w:marRight w:val="0"/>
          <w:marTop w:val="0"/>
          <w:marBottom w:val="0"/>
          <w:divBdr>
            <w:top w:val="none" w:sz="0" w:space="0" w:color="auto"/>
            <w:left w:val="none" w:sz="0" w:space="0" w:color="auto"/>
            <w:bottom w:val="none" w:sz="0" w:space="0" w:color="auto"/>
            <w:right w:val="none" w:sz="0" w:space="0" w:color="auto"/>
          </w:divBdr>
          <w:divsChild>
            <w:div w:id="1174106783">
              <w:marLeft w:val="0"/>
              <w:marRight w:val="0"/>
              <w:marTop w:val="0"/>
              <w:marBottom w:val="0"/>
              <w:divBdr>
                <w:top w:val="none" w:sz="0" w:space="0" w:color="auto"/>
                <w:left w:val="none" w:sz="0" w:space="0" w:color="auto"/>
                <w:bottom w:val="none" w:sz="0" w:space="0" w:color="auto"/>
                <w:right w:val="none" w:sz="0" w:space="0" w:color="auto"/>
              </w:divBdr>
              <w:divsChild>
                <w:div w:id="1863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54678">
      <w:bodyDiv w:val="1"/>
      <w:marLeft w:val="0"/>
      <w:marRight w:val="0"/>
      <w:marTop w:val="0"/>
      <w:marBottom w:val="0"/>
      <w:divBdr>
        <w:top w:val="none" w:sz="0" w:space="0" w:color="auto"/>
        <w:left w:val="none" w:sz="0" w:space="0" w:color="auto"/>
        <w:bottom w:val="none" w:sz="0" w:space="0" w:color="auto"/>
        <w:right w:val="none" w:sz="0" w:space="0" w:color="auto"/>
      </w:divBdr>
      <w:divsChild>
        <w:div w:id="414281999">
          <w:marLeft w:val="0"/>
          <w:marRight w:val="0"/>
          <w:marTop w:val="0"/>
          <w:marBottom w:val="0"/>
          <w:divBdr>
            <w:top w:val="none" w:sz="0" w:space="0" w:color="auto"/>
            <w:left w:val="none" w:sz="0" w:space="0" w:color="auto"/>
            <w:bottom w:val="none" w:sz="0" w:space="0" w:color="auto"/>
            <w:right w:val="none" w:sz="0" w:space="0" w:color="auto"/>
          </w:divBdr>
          <w:divsChild>
            <w:div w:id="148058203">
              <w:marLeft w:val="0"/>
              <w:marRight w:val="0"/>
              <w:marTop w:val="0"/>
              <w:marBottom w:val="0"/>
              <w:divBdr>
                <w:top w:val="none" w:sz="0" w:space="0" w:color="auto"/>
                <w:left w:val="none" w:sz="0" w:space="0" w:color="auto"/>
                <w:bottom w:val="none" w:sz="0" w:space="0" w:color="auto"/>
                <w:right w:val="none" w:sz="0" w:space="0" w:color="auto"/>
              </w:divBdr>
              <w:divsChild>
                <w:div w:id="15513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16120">
      <w:bodyDiv w:val="1"/>
      <w:marLeft w:val="0"/>
      <w:marRight w:val="0"/>
      <w:marTop w:val="0"/>
      <w:marBottom w:val="0"/>
      <w:divBdr>
        <w:top w:val="none" w:sz="0" w:space="0" w:color="auto"/>
        <w:left w:val="none" w:sz="0" w:space="0" w:color="auto"/>
        <w:bottom w:val="none" w:sz="0" w:space="0" w:color="auto"/>
        <w:right w:val="none" w:sz="0" w:space="0" w:color="auto"/>
      </w:divBdr>
    </w:div>
    <w:div w:id="1875069147">
      <w:bodyDiv w:val="1"/>
      <w:marLeft w:val="0"/>
      <w:marRight w:val="0"/>
      <w:marTop w:val="0"/>
      <w:marBottom w:val="0"/>
      <w:divBdr>
        <w:top w:val="none" w:sz="0" w:space="0" w:color="auto"/>
        <w:left w:val="none" w:sz="0" w:space="0" w:color="auto"/>
        <w:bottom w:val="none" w:sz="0" w:space="0" w:color="auto"/>
        <w:right w:val="none" w:sz="0" w:space="0" w:color="auto"/>
      </w:divBdr>
    </w:div>
    <w:div w:id="1898317317">
      <w:bodyDiv w:val="1"/>
      <w:marLeft w:val="0"/>
      <w:marRight w:val="0"/>
      <w:marTop w:val="0"/>
      <w:marBottom w:val="0"/>
      <w:divBdr>
        <w:top w:val="none" w:sz="0" w:space="0" w:color="auto"/>
        <w:left w:val="none" w:sz="0" w:space="0" w:color="auto"/>
        <w:bottom w:val="none" w:sz="0" w:space="0" w:color="auto"/>
        <w:right w:val="none" w:sz="0" w:space="0" w:color="auto"/>
      </w:divBdr>
    </w:div>
    <w:div w:id="1921869916">
      <w:bodyDiv w:val="1"/>
      <w:marLeft w:val="0"/>
      <w:marRight w:val="0"/>
      <w:marTop w:val="0"/>
      <w:marBottom w:val="0"/>
      <w:divBdr>
        <w:top w:val="none" w:sz="0" w:space="0" w:color="auto"/>
        <w:left w:val="none" w:sz="0" w:space="0" w:color="auto"/>
        <w:bottom w:val="none" w:sz="0" w:space="0" w:color="auto"/>
        <w:right w:val="none" w:sz="0" w:space="0" w:color="auto"/>
      </w:divBdr>
    </w:div>
    <w:div w:id="2008241805">
      <w:bodyDiv w:val="1"/>
      <w:marLeft w:val="0"/>
      <w:marRight w:val="0"/>
      <w:marTop w:val="0"/>
      <w:marBottom w:val="0"/>
      <w:divBdr>
        <w:top w:val="none" w:sz="0" w:space="0" w:color="auto"/>
        <w:left w:val="none" w:sz="0" w:space="0" w:color="auto"/>
        <w:bottom w:val="none" w:sz="0" w:space="0" w:color="auto"/>
        <w:right w:val="none" w:sz="0" w:space="0" w:color="auto"/>
      </w:divBdr>
      <w:divsChild>
        <w:div w:id="1897736318">
          <w:marLeft w:val="0"/>
          <w:marRight w:val="0"/>
          <w:marTop w:val="0"/>
          <w:marBottom w:val="0"/>
          <w:divBdr>
            <w:top w:val="none" w:sz="0" w:space="0" w:color="auto"/>
            <w:left w:val="none" w:sz="0" w:space="0" w:color="auto"/>
            <w:bottom w:val="none" w:sz="0" w:space="0" w:color="auto"/>
            <w:right w:val="none" w:sz="0" w:space="0" w:color="auto"/>
          </w:divBdr>
          <w:divsChild>
            <w:div w:id="757752248">
              <w:marLeft w:val="0"/>
              <w:marRight w:val="0"/>
              <w:marTop w:val="0"/>
              <w:marBottom w:val="0"/>
              <w:divBdr>
                <w:top w:val="none" w:sz="0" w:space="0" w:color="auto"/>
                <w:left w:val="none" w:sz="0" w:space="0" w:color="auto"/>
                <w:bottom w:val="none" w:sz="0" w:space="0" w:color="auto"/>
                <w:right w:val="none" w:sz="0" w:space="0" w:color="auto"/>
              </w:divBdr>
              <w:divsChild>
                <w:div w:id="173095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67913">
      <w:bodyDiv w:val="1"/>
      <w:marLeft w:val="0"/>
      <w:marRight w:val="0"/>
      <w:marTop w:val="0"/>
      <w:marBottom w:val="0"/>
      <w:divBdr>
        <w:top w:val="none" w:sz="0" w:space="0" w:color="auto"/>
        <w:left w:val="none" w:sz="0" w:space="0" w:color="auto"/>
        <w:bottom w:val="none" w:sz="0" w:space="0" w:color="auto"/>
        <w:right w:val="none" w:sz="0" w:space="0" w:color="auto"/>
      </w:divBdr>
    </w:div>
    <w:div w:id="2020965536">
      <w:bodyDiv w:val="1"/>
      <w:marLeft w:val="0"/>
      <w:marRight w:val="0"/>
      <w:marTop w:val="0"/>
      <w:marBottom w:val="0"/>
      <w:divBdr>
        <w:top w:val="none" w:sz="0" w:space="0" w:color="auto"/>
        <w:left w:val="none" w:sz="0" w:space="0" w:color="auto"/>
        <w:bottom w:val="none" w:sz="0" w:space="0" w:color="auto"/>
        <w:right w:val="none" w:sz="0" w:space="0" w:color="auto"/>
      </w:divBdr>
    </w:div>
    <w:div w:id="2028093487">
      <w:bodyDiv w:val="1"/>
      <w:marLeft w:val="0"/>
      <w:marRight w:val="0"/>
      <w:marTop w:val="0"/>
      <w:marBottom w:val="0"/>
      <w:divBdr>
        <w:top w:val="none" w:sz="0" w:space="0" w:color="auto"/>
        <w:left w:val="none" w:sz="0" w:space="0" w:color="auto"/>
        <w:bottom w:val="none" w:sz="0" w:space="0" w:color="auto"/>
        <w:right w:val="none" w:sz="0" w:space="0" w:color="auto"/>
      </w:divBdr>
      <w:divsChild>
        <w:div w:id="1388069425">
          <w:marLeft w:val="0"/>
          <w:marRight w:val="0"/>
          <w:marTop w:val="0"/>
          <w:marBottom w:val="0"/>
          <w:divBdr>
            <w:top w:val="none" w:sz="0" w:space="0" w:color="auto"/>
            <w:left w:val="none" w:sz="0" w:space="0" w:color="auto"/>
            <w:bottom w:val="none" w:sz="0" w:space="0" w:color="auto"/>
            <w:right w:val="none" w:sz="0" w:space="0" w:color="auto"/>
          </w:divBdr>
          <w:divsChild>
            <w:div w:id="1357733927">
              <w:marLeft w:val="0"/>
              <w:marRight w:val="0"/>
              <w:marTop w:val="0"/>
              <w:marBottom w:val="0"/>
              <w:divBdr>
                <w:top w:val="none" w:sz="0" w:space="0" w:color="auto"/>
                <w:left w:val="none" w:sz="0" w:space="0" w:color="auto"/>
                <w:bottom w:val="none" w:sz="0" w:space="0" w:color="auto"/>
                <w:right w:val="none" w:sz="0" w:space="0" w:color="auto"/>
              </w:divBdr>
              <w:divsChild>
                <w:div w:id="125508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dx.doi.org/10.1207/s1532754xjprr1601_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dx.doi.org/10.1111/j.1939-0025.1987.tb03541.x" TargetMode="External"/><Relationship Id="rId4" Type="http://schemas.openxmlformats.org/officeDocument/2006/relationships/settings" Target="settings.xml"/><Relationship Id="rId9" Type="http://schemas.openxmlformats.org/officeDocument/2006/relationships/hyperlink" Target="http://assets.pewresearch.org/wp-content/uploads/sites/11/2018/06/14112107/ReligiousCommitment-FULL-WEB.pdf"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8FB28-5ECB-6B4A-B16D-8628C904A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10219</Words>
  <Characters>56210</Characters>
  <Application>Microsoft Office Word</Application>
  <DocSecurity>0</DocSecurity>
  <Lines>468</Lines>
  <Paragraphs>132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66297</CharactersWithSpaces>
  <SharedDoc>false</SharedDoc>
  <HyperlinkBase/>
  <HLinks>
    <vt:vector size="12" baseType="variant">
      <vt:variant>
        <vt:i4>7864401</vt:i4>
      </vt:variant>
      <vt:variant>
        <vt:i4>3</vt:i4>
      </vt:variant>
      <vt:variant>
        <vt:i4>0</vt:i4>
      </vt:variant>
      <vt:variant>
        <vt:i4>5</vt:i4>
      </vt:variant>
      <vt:variant>
        <vt:lpwstr>http://www.bls.gov/ooh/media-and-communication/public-relations-specialists.htm</vt:lpwstr>
      </vt:variant>
      <vt:variant>
        <vt:lpwstr/>
      </vt:variant>
      <vt:variant>
        <vt:i4>5963845</vt:i4>
      </vt:variant>
      <vt:variant>
        <vt:i4>0</vt:i4>
      </vt:variant>
      <vt:variant>
        <vt:i4>0</vt:i4>
      </vt:variant>
      <vt:variant>
        <vt:i4>5</vt:i4>
      </vt:variant>
      <vt:variant>
        <vt:lpwstr>http://www.holmesreport.com/ranking-and-data/world-pr-report/research/optimism-attitudes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Navarro</dc:creator>
  <cp:keywords/>
  <dc:description/>
  <cp:lastModifiedBy>María Cristina Fuentes Lara</cp:lastModifiedBy>
  <cp:revision>3</cp:revision>
  <cp:lastPrinted>2019-05-23T18:56:00Z</cp:lastPrinted>
  <dcterms:created xsi:type="dcterms:W3CDTF">2023-12-18T13:43:00Z</dcterms:created>
  <dcterms:modified xsi:type="dcterms:W3CDTF">2023-12-18T19:16:00Z</dcterms:modified>
  <cp:category/>
</cp:coreProperties>
</file>